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2573" w14:textId="56DE0AFD" w:rsidR="00AB2DEF" w:rsidRPr="00B327EB" w:rsidRDefault="00AB2DEF" w:rsidP="00354640">
      <w:pPr>
        <w:spacing w:after="0" w:line="240" w:lineRule="auto"/>
        <w:ind w:left="1418" w:hanging="1418"/>
        <w:jc w:val="center"/>
        <w:rPr>
          <w:rFonts w:ascii="Arial" w:hAnsi="Arial" w:cs="Arial"/>
          <w:b/>
          <w:bCs/>
          <w:sz w:val="18"/>
          <w:szCs w:val="18"/>
        </w:rPr>
      </w:pPr>
      <w:r w:rsidRPr="00B327EB">
        <w:rPr>
          <w:rFonts w:ascii="Arial" w:hAnsi="Arial" w:cs="Arial"/>
          <w:b/>
          <w:sz w:val="18"/>
          <w:szCs w:val="18"/>
        </w:rPr>
        <w:t xml:space="preserve">ANEXO </w:t>
      </w:r>
      <w:r w:rsidR="00897642" w:rsidRPr="00B327EB">
        <w:rPr>
          <w:rFonts w:ascii="Arial" w:hAnsi="Arial" w:cs="Arial"/>
          <w:b/>
          <w:sz w:val="18"/>
          <w:szCs w:val="18"/>
        </w:rPr>
        <w:t>8</w:t>
      </w:r>
      <w:r w:rsidR="00CC43A5" w:rsidRPr="00B327EB">
        <w:rPr>
          <w:rFonts w:ascii="Arial" w:hAnsi="Arial" w:cs="Arial"/>
          <w:b/>
          <w:sz w:val="18"/>
          <w:szCs w:val="18"/>
        </w:rPr>
        <w:t xml:space="preserve">. </w:t>
      </w:r>
      <w:r w:rsidRPr="00B327EB">
        <w:rPr>
          <w:rFonts w:ascii="Arial" w:hAnsi="Arial" w:cs="Arial"/>
          <w:b/>
          <w:bCs/>
          <w:sz w:val="18"/>
          <w:szCs w:val="18"/>
        </w:rPr>
        <w:t>MODELOS CUANTITATIVOS</w:t>
      </w:r>
      <w:r w:rsidR="00144E92" w:rsidRPr="00B327EB">
        <w:rPr>
          <w:rFonts w:ascii="Arial" w:hAnsi="Arial" w:cs="Arial"/>
          <w:b/>
          <w:bCs/>
          <w:sz w:val="18"/>
          <w:szCs w:val="18"/>
        </w:rPr>
        <w:t xml:space="preserve"> DE</w:t>
      </w:r>
      <w:r w:rsidRPr="00B327EB">
        <w:rPr>
          <w:rFonts w:ascii="Arial" w:hAnsi="Arial" w:cs="Arial"/>
          <w:b/>
          <w:bCs/>
          <w:sz w:val="18"/>
          <w:szCs w:val="18"/>
        </w:rPr>
        <w:t xml:space="preserve"> RIESGO DE MERCADO</w:t>
      </w:r>
      <w:r w:rsidR="00144E92" w:rsidRPr="00B327EB">
        <w:rPr>
          <w:rFonts w:ascii="Arial" w:hAnsi="Arial" w:cs="Arial"/>
          <w:b/>
          <w:bCs/>
          <w:sz w:val="18"/>
          <w:szCs w:val="18"/>
        </w:rPr>
        <w:t xml:space="preserve"> APLICABLE A</w:t>
      </w:r>
      <w:r w:rsidR="00CC43A5" w:rsidRPr="00B327EB">
        <w:rPr>
          <w:rFonts w:ascii="Arial" w:hAnsi="Arial" w:cs="Arial"/>
          <w:b/>
          <w:bCs/>
          <w:sz w:val="18"/>
          <w:szCs w:val="18"/>
        </w:rPr>
        <w:t xml:space="preserve"> LAS </w:t>
      </w:r>
      <w:r w:rsidR="00144E92" w:rsidRPr="00B327EB">
        <w:rPr>
          <w:rFonts w:ascii="Arial" w:hAnsi="Arial" w:cs="Arial"/>
          <w:b/>
          <w:bCs/>
          <w:sz w:val="18"/>
          <w:szCs w:val="18"/>
        </w:rPr>
        <w:t>ENTIDADES DE SEGUROS GENERALES RESPECTO DE LAS INVERSIONES QUE RESPALDEN SUS RESERVAS TÉCNICAS</w:t>
      </w:r>
    </w:p>
    <w:p w14:paraId="3731B5AC" w14:textId="77777777" w:rsidR="00AB2DEF" w:rsidRPr="00B327EB" w:rsidRDefault="00AB2DEF" w:rsidP="00354640">
      <w:pPr>
        <w:spacing w:after="0" w:line="240" w:lineRule="auto"/>
        <w:jc w:val="both"/>
        <w:rPr>
          <w:rFonts w:ascii="Arial" w:eastAsia="Times New Roman" w:hAnsi="Arial" w:cs="Arial"/>
          <w:b/>
          <w:snapToGrid w:val="0"/>
          <w:sz w:val="18"/>
          <w:szCs w:val="18"/>
          <w:lang w:val="es-MX" w:eastAsia="es-ES"/>
        </w:rPr>
      </w:pPr>
    </w:p>
    <w:p w14:paraId="09135BEF" w14:textId="0591D71A" w:rsidR="00AB2DEF" w:rsidRPr="00B327EB" w:rsidRDefault="00144E92" w:rsidP="00354640">
      <w:pPr>
        <w:numPr>
          <w:ilvl w:val="0"/>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CONSIDERACIONES GENERALES</w:t>
      </w:r>
    </w:p>
    <w:p w14:paraId="46BA8823" w14:textId="77777777" w:rsidR="00AB2DEF" w:rsidRPr="00B327EB" w:rsidRDefault="00AB2DEF" w:rsidP="00354640">
      <w:pPr>
        <w:spacing w:after="0" w:line="240" w:lineRule="auto"/>
        <w:contextualSpacing/>
        <w:jc w:val="both"/>
        <w:rPr>
          <w:rFonts w:ascii="Arial" w:eastAsia="Times New Roman" w:hAnsi="Arial" w:cs="Arial"/>
          <w:sz w:val="18"/>
          <w:szCs w:val="18"/>
          <w:lang w:val="es-ES" w:eastAsia="es-ES"/>
        </w:rPr>
      </w:pPr>
    </w:p>
    <w:p w14:paraId="07DBA582" w14:textId="5307E6DF" w:rsidR="00366553"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el presente </w:t>
      </w:r>
      <w:r w:rsidR="00144E92" w:rsidRPr="00B327EB">
        <w:rPr>
          <w:rFonts w:ascii="Arial" w:eastAsia="Times New Roman" w:hAnsi="Arial" w:cs="Arial"/>
          <w:sz w:val="18"/>
          <w:szCs w:val="18"/>
          <w:lang w:val="es-ES" w:eastAsia="es-ES"/>
        </w:rPr>
        <w:t>A</w:t>
      </w:r>
      <w:r w:rsidRPr="00B327EB">
        <w:rPr>
          <w:rFonts w:ascii="Arial" w:eastAsia="Times New Roman" w:hAnsi="Arial" w:cs="Arial"/>
          <w:sz w:val="18"/>
          <w:szCs w:val="18"/>
          <w:lang w:val="es-ES" w:eastAsia="es-ES"/>
        </w:rPr>
        <w:t xml:space="preserve">nexo se establece el modelo estándar para la medición de riesgo de mercado </w:t>
      </w:r>
      <w:r w:rsidR="00144E92" w:rsidRPr="00B327EB">
        <w:rPr>
          <w:rFonts w:ascii="Arial" w:eastAsia="Times New Roman" w:hAnsi="Arial" w:cs="Arial"/>
          <w:sz w:val="18"/>
          <w:szCs w:val="18"/>
          <w:lang w:val="es-ES" w:eastAsia="es-ES"/>
        </w:rPr>
        <w:t>que</w:t>
      </w:r>
      <w:r w:rsidRPr="00B327EB">
        <w:rPr>
          <w:rFonts w:ascii="Arial" w:eastAsia="Times New Roman" w:hAnsi="Arial" w:cs="Arial"/>
          <w:sz w:val="18"/>
          <w:szCs w:val="18"/>
          <w:lang w:val="es-ES" w:eastAsia="es-ES"/>
        </w:rPr>
        <w:t xml:space="preserve"> deben emplear</w:t>
      </w:r>
      <w:r w:rsidRPr="00B327EB">
        <w:rPr>
          <w:rFonts w:ascii="Arial" w:hAnsi="Arial" w:cs="Arial"/>
          <w:sz w:val="18"/>
          <w:szCs w:val="18"/>
        </w:rPr>
        <w:t xml:space="preserve"> </w:t>
      </w:r>
      <w:r w:rsidRPr="00B327EB">
        <w:rPr>
          <w:rFonts w:ascii="Arial" w:eastAsia="Times New Roman" w:hAnsi="Arial" w:cs="Arial"/>
          <w:sz w:val="18"/>
          <w:szCs w:val="18"/>
          <w:lang w:val="es-ES" w:eastAsia="es-ES"/>
        </w:rPr>
        <w:t>las entidades de seguros generales para las inversiones que respalden sus reservas técnicas.</w:t>
      </w:r>
    </w:p>
    <w:p w14:paraId="55896B9F"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p>
    <w:p w14:paraId="13F295E5" w14:textId="05E76D56" w:rsidR="00AB2DEF" w:rsidRPr="00B327EB" w:rsidRDefault="00144E92" w:rsidP="00354640">
      <w:pPr>
        <w:numPr>
          <w:ilvl w:val="0"/>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METODOLOGÍA ESTÁNDAR DE MEDICIÓN</w:t>
      </w:r>
    </w:p>
    <w:p w14:paraId="5C6D3194" w14:textId="77777777" w:rsidR="00AB2DEF" w:rsidRPr="00B327EB" w:rsidRDefault="00AB2DEF" w:rsidP="00354640">
      <w:pPr>
        <w:spacing w:after="0" w:line="240" w:lineRule="auto"/>
        <w:jc w:val="both"/>
        <w:rPr>
          <w:rFonts w:ascii="Arial" w:eastAsia="Times New Roman" w:hAnsi="Arial" w:cs="Arial"/>
          <w:b/>
          <w:sz w:val="18"/>
          <w:szCs w:val="18"/>
          <w:lang w:val="es-ES" w:eastAsia="es-ES"/>
        </w:rPr>
      </w:pPr>
    </w:p>
    <w:p w14:paraId="6413EE3A" w14:textId="57870E61"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 metodología estandarizada se compone </w:t>
      </w:r>
      <w:r w:rsidR="00A03074" w:rsidRPr="00B327EB">
        <w:rPr>
          <w:rFonts w:ascii="Arial" w:eastAsia="Times New Roman" w:hAnsi="Arial" w:cs="Arial"/>
          <w:sz w:val="18"/>
          <w:szCs w:val="18"/>
          <w:lang w:val="es-ES" w:eastAsia="es-ES"/>
        </w:rPr>
        <w:t xml:space="preserve">de un modelo de factores de riesgo que </w:t>
      </w:r>
      <w:r w:rsidRPr="00B327EB">
        <w:rPr>
          <w:rFonts w:ascii="Arial" w:eastAsia="Times New Roman" w:hAnsi="Arial" w:cs="Arial"/>
          <w:sz w:val="18"/>
          <w:szCs w:val="18"/>
          <w:lang w:val="es-ES" w:eastAsia="es-ES"/>
        </w:rPr>
        <w:t>se calculan separadamente y son los siguientes:</w:t>
      </w:r>
    </w:p>
    <w:p w14:paraId="4FA9850B" w14:textId="60E23DA3" w:rsidR="00A03074"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a. Riesgo de tasa de interés.</w:t>
      </w:r>
    </w:p>
    <w:p w14:paraId="0613602F" w14:textId="2EF764E4" w:rsidR="00AB2DEF"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b</w:t>
      </w:r>
      <w:r w:rsidR="00AB2DEF" w:rsidRPr="00B327EB">
        <w:rPr>
          <w:rFonts w:ascii="Arial" w:eastAsia="Times New Roman" w:hAnsi="Arial" w:cs="Arial"/>
          <w:sz w:val="18"/>
          <w:szCs w:val="18"/>
          <w:lang w:val="es-ES" w:eastAsia="es-ES"/>
        </w:rPr>
        <w:t>. Riesgo de tasa de cambio.</w:t>
      </w:r>
    </w:p>
    <w:p w14:paraId="305DA00D" w14:textId="63E64DBA" w:rsidR="00AB2DEF"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w:t>
      </w:r>
      <w:r w:rsidR="00AB2DEF" w:rsidRPr="00B327EB">
        <w:rPr>
          <w:rFonts w:ascii="Arial" w:eastAsia="Times New Roman" w:hAnsi="Arial" w:cs="Arial"/>
          <w:sz w:val="18"/>
          <w:szCs w:val="18"/>
          <w:lang w:val="es-ES" w:eastAsia="es-ES"/>
        </w:rPr>
        <w:t>. Riesgo de precio de acciones.</w:t>
      </w:r>
    </w:p>
    <w:p w14:paraId="12D1D650" w14:textId="7BF69DCD" w:rsidR="00AB2DEF"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w:t>
      </w:r>
      <w:r w:rsidR="00AB2DEF" w:rsidRPr="00B327EB">
        <w:rPr>
          <w:rFonts w:ascii="Arial" w:eastAsia="Times New Roman" w:hAnsi="Arial" w:cs="Arial"/>
          <w:sz w:val="18"/>
          <w:szCs w:val="18"/>
          <w:lang w:val="es-ES" w:eastAsia="es-ES"/>
        </w:rPr>
        <w:t xml:space="preserve">. Riesgo de </w:t>
      </w:r>
      <w:proofErr w:type="spellStart"/>
      <w:r w:rsidR="00144E92" w:rsidRPr="00B327EB">
        <w:rPr>
          <w:rFonts w:ascii="Arial" w:eastAsia="Times New Roman" w:hAnsi="Arial" w:cs="Arial"/>
          <w:sz w:val="18"/>
          <w:szCs w:val="18"/>
          <w:lang w:val="es-ES" w:eastAsia="es-ES"/>
        </w:rPr>
        <w:t>FICs</w:t>
      </w:r>
      <w:proofErr w:type="spellEnd"/>
      <w:r w:rsidR="00AB2DEF" w:rsidRPr="00B327EB">
        <w:rPr>
          <w:rFonts w:ascii="Arial" w:eastAsia="Times New Roman" w:hAnsi="Arial" w:cs="Arial"/>
          <w:sz w:val="18"/>
          <w:szCs w:val="18"/>
          <w:lang w:val="es-ES" w:eastAsia="es-ES"/>
        </w:rPr>
        <w:t>.</w:t>
      </w:r>
    </w:p>
    <w:p w14:paraId="04D6E9B4" w14:textId="4EDC1813" w:rsidR="009E5A1C" w:rsidRPr="00B327EB" w:rsidRDefault="009E5A1C" w:rsidP="00982025">
      <w:pPr>
        <w:pBdr>
          <w:left w:val="single" w:sz="4" w:space="4" w:color="auto"/>
        </w:pBd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 </w:t>
      </w:r>
      <w:r w:rsidR="00FD7F79" w:rsidRPr="00FD7F79">
        <w:rPr>
          <w:rFonts w:ascii="Arial" w:eastAsia="Times New Roman" w:hAnsi="Arial" w:cs="Arial"/>
          <w:b/>
          <w:bCs/>
          <w:sz w:val="18"/>
          <w:szCs w:val="18"/>
          <w:lang w:val="es-ES" w:eastAsia="es-ES"/>
        </w:rPr>
        <w:t>Riesgo de derivados de crédito</w:t>
      </w:r>
      <w:r w:rsidR="00C73F50" w:rsidRPr="00FD7F79">
        <w:rPr>
          <w:rFonts w:ascii="Arial" w:eastAsia="Times New Roman" w:hAnsi="Arial" w:cs="Arial"/>
          <w:b/>
          <w:bCs/>
          <w:sz w:val="18"/>
          <w:szCs w:val="18"/>
          <w:lang w:val="es-ES" w:eastAsia="es-ES"/>
        </w:rPr>
        <w:t>.</w:t>
      </w:r>
    </w:p>
    <w:p w14:paraId="17176866"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p>
    <w:p w14:paraId="780CC068"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obtener la exposición total a riesgos de mercado los resultados de estos módulos se deben agregar aritméticamente.</w:t>
      </w:r>
    </w:p>
    <w:p w14:paraId="7D96C0D6" w14:textId="6F930619" w:rsidR="00144E92" w:rsidRPr="00B327EB" w:rsidRDefault="00AB2DEF" w:rsidP="00354640">
      <w:pPr>
        <w:spacing w:after="0" w:line="240" w:lineRule="auto"/>
        <w:contextualSpacing/>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los módulos de tasa de interés y de acciones, se toman en cuenta únicamente las posiciones del libro de tesorería. En el caso del módulo de tasa de cambio se incluyen también las posiciones del libro bancario.</w:t>
      </w:r>
    </w:p>
    <w:p w14:paraId="1D4A83BF" w14:textId="77777777" w:rsidR="00AB2DEF" w:rsidRPr="00B327EB" w:rsidRDefault="00AB2DEF" w:rsidP="00354640">
      <w:pPr>
        <w:spacing w:after="0" w:line="240" w:lineRule="auto"/>
        <w:contextualSpacing/>
        <w:jc w:val="both"/>
        <w:rPr>
          <w:rFonts w:ascii="Arial" w:eastAsia="Times New Roman" w:hAnsi="Arial" w:cs="Arial"/>
          <w:sz w:val="18"/>
          <w:szCs w:val="18"/>
          <w:lang w:val="es-ES" w:eastAsia="es-ES"/>
        </w:rPr>
      </w:pPr>
    </w:p>
    <w:p w14:paraId="4EACF6F9" w14:textId="2E01F624"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MX" w:eastAsia="es-ES"/>
        </w:rPr>
      </w:pPr>
      <w:r w:rsidRPr="00B327EB">
        <w:rPr>
          <w:rFonts w:ascii="Arial" w:eastAsia="Times New Roman" w:hAnsi="Arial" w:cs="Arial"/>
          <w:b/>
          <w:sz w:val="18"/>
          <w:szCs w:val="18"/>
          <w:lang w:val="es-ES" w:eastAsia="es-ES"/>
        </w:rPr>
        <w:t>Tratamiento de las posiciones en derivados y otras operaciones</w:t>
      </w:r>
    </w:p>
    <w:p w14:paraId="5C8B9E53" w14:textId="77777777" w:rsidR="00AB2DEF" w:rsidRPr="00B327EB" w:rsidRDefault="00AB2DEF" w:rsidP="00354640">
      <w:pPr>
        <w:spacing w:after="0" w:line="240" w:lineRule="auto"/>
        <w:jc w:val="both"/>
        <w:rPr>
          <w:rFonts w:ascii="Arial" w:eastAsia="Times New Roman" w:hAnsi="Arial" w:cs="Arial"/>
          <w:b/>
          <w:sz w:val="18"/>
          <w:szCs w:val="18"/>
          <w:lang w:val="es-MX" w:eastAsia="es-ES"/>
        </w:rPr>
      </w:pPr>
    </w:p>
    <w:p w14:paraId="7345B742" w14:textId="1B99AA92"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Las posiciones en instrumentos derivados y en operaciones de repo o reporto, en operaciones simultáneas y en operaciones de transferencia temporal de valores serán tenidas en cuenta para el cálculo de los requerimientos de capital en cada uno de los módulos </w:t>
      </w:r>
      <w:r w:rsidR="00575987"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las condiciones señaladas a continuación.</w:t>
      </w:r>
    </w:p>
    <w:p w14:paraId="023A53DD"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92A3A73" w14:textId="5FC9E5F2" w:rsidR="00354640"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2.1.1. Posiciones en Derivados</w:t>
      </w:r>
    </w:p>
    <w:p w14:paraId="54944866" w14:textId="599336CC" w:rsidR="00AB2DEF" w:rsidRPr="00B327EB" w:rsidRDefault="00AB2DEF" w:rsidP="00354640">
      <w:pPr>
        <w:spacing w:after="0" w:line="240" w:lineRule="auto"/>
        <w:jc w:val="both"/>
        <w:rPr>
          <w:rFonts w:ascii="Arial" w:eastAsia="Times New Roman" w:hAnsi="Arial" w:cs="Arial"/>
          <w:sz w:val="18"/>
          <w:szCs w:val="18"/>
          <w:lang w:val="es-ES" w:eastAsia="es-ES"/>
        </w:rPr>
      </w:pPr>
    </w:p>
    <w:p w14:paraId="57AA60C6" w14:textId="33AE824B"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su inclusión en los cálculos del cargo de capital del presente numeral, </w:t>
      </w:r>
      <w:r w:rsidR="00DF2B76" w:rsidRPr="00B327EB">
        <w:rPr>
          <w:rFonts w:ascii="Arial" w:eastAsia="Times New Roman" w:hAnsi="Arial" w:cs="Arial"/>
          <w:sz w:val="18"/>
          <w:szCs w:val="18"/>
          <w:lang w:val="es-ES" w:eastAsia="es-ES"/>
        </w:rPr>
        <w:t>los instrumentos derivados debe</w:t>
      </w:r>
      <w:r w:rsidRPr="00B327EB">
        <w:rPr>
          <w:rFonts w:ascii="Arial" w:eastAsia="Times New Roman" w:hAnsi="Arial" w:cs="Arial"/>
          <w:sz w:val="18"/>
          <w:szCs w:val="18"/>
          <w:lang w:val="es-ES" w:eastAsia="es-ES"/>
        </w:rPr>
        <w:t xml:space="preserve">n ser convertidos en posiciones de los instrumentos subyacentes correspondientes. Los montos reportados corresponderán al valor de mercado de las posiciones nocionales reportadas. A </w:t>
      </w:r>
      <w:r w:rsidR="00B77CC0" w:rsidRPr="00B327EB">
        <w:rPr>
          <w:rFonts w:ascii="Arial" w:eastAsia="Times New Roman" w:hAnsi="Arial" w:cs="Arial"/>
          <w:sz w:val="18"/>
          <w:szCs w:val="18"/>
          <w:lang w:val="es-ES" w:eastAsia="es-ES"/>
        </w:rPr>
        <w:t>continuación,</w:t>
      </w:r>
      <w:r w:rsidRPr="00B327EB">
        <w:rPr>
          <w:rFonts w:ascii="Arial" w:eastAsia="Times New Roman" w:hAnsi="Arial" w:cs="Arial"/>
          <w:sz w:val="18"/>
          <w:szCs w:val="18"/>
          <w:lang w:val="es-ES" w:eastAsia="es-ES"/>
        </w:rPr>
        <w:t xml:space="preserve"> se presentan instrucciones referentes al tratamiento de algunos instrumentos específicos.</w:t>
      </w:r>
    </w:p>
    <w:p w14:paraId="4BAB3622"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E4F5F1A" w14:textId="1F8EE4C0" w:rsidR="00AB2DEF" w:rsidRPr="00B327EB" w:rsidRDefault="00AB2DEF" w:rsidP="009D36D2">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y Forwards sobre tasa de interés</w:t>
      </w:r>
      <w:r w:rsidR="00DF07B3" w:rsidRPr="00B327EB">
        <w:rPr>
          <w:rFonts w:ascii="Arial" w:eastAsia="Times New Roman" w:hAnsi="Arial" w:cs="Arial"/>
          <w:sz w:val="18"/>
          <w:szCs w:val="18"/>
          <w:lang w:val="es-ES" w:eastAsia="es-ES"/>
        </w:rPr>
        <w:t>.</w:t>
      </w:r>
    </w:p>
    <w:p w14:paraId="33214CD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521C9FF" w14:textId="684EEC78" w:rsidR="0035183A" w:rsidRPr="00B327EB" w:rsidRDefault="00AB2DEF" w:rsidP="009D36D2">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Estos instrumentos deberán ser tratados como 2 posiciones nocionales en bonos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w:t>
      </w:r>
    </w:p>
    <w:p w14:paraId="36D29E2C" w14:textId="77777777" w:rsidR="00354640" w:rsidRPr="00B327EB" w:rsidRDefault="00354640" w:rsidP="009D36D2">
      <w:pPr>
        <w:spacing w:after="0" w:line="240" w:lineRule="auto"/>
        <w:ind w:left="284"/>
        <w:jc w:val="both"/>
        <w:rPr>
          <w:rFonts w:ascii="Arial" w:eastAsia="Times New Roman" w:hAnsi="Arial" w:cs="Arial"/>
          <w:sz w:val="18"/>
          <w:szCs w:val="18"/>
          <w:lang w:val="es-ES" w:eastAsia="es-ES"/>
        </w:rPr>
      </w:pPr>
    </w:p>
    <w:p w14:paraId="060033C1" w14:textId="129F5237" w:rsidR="00AB2DEF" w:rsidRPr="00B327EB" w:rsidRDefault="00AB2DEF" w:rsidP="009D36D2">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entidad vigilada vende un futuro sobre una tasa de interés o compra un forward sobre tasa de interés, es decir, que se compromete a pagar una tasa de interés durante un periodo de tiempo en el futuro, esta posición se descompone en:</w:t>
      </w:r>
    </w:p>
    <w:p w14:paraId="3E1B017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0CE1548" w14:textId="77777777" w:rsidR="00DF2B76" w:rsidRPr="00B327EB" w:rsidRDefault="00AB2DEF" w:rsidP="00E93F7C">
      <w:pPr>
        <w:pStyle w:val="Prrafodelista"/>
        <w:numPr>
          <w:ilvl w:val="0"/>
          <w:numId w:val="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Una posición nocional corta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con madurez residual igual al tiempo que resta hasta el inicio del contrato más el periodo efectivo de pago de la tasa de interés.</w:t>
      </w:r>
    </w:p>
    <w:p w14:paraId="0D133E68" w14:textId="77777777" w:rsidR="00DF2B76" w:rsidRPr="00B327EB" w:rsidRDefault="00DF2B76" w:rsidP="00E93F7C">
      <w:pPr>
        <w:pStyle w:val="Prrafodelista"/>
        <w:spacing w:after="0" w:line="240" w:lineRule="auto"/>
        <w:ind w:left="567" w:hanging="283"/>
        <w:jc w:val="both"/>
        <w:rPr>
          <w:rFonts w:ascii="Arial" w:eastAsia="Times New Roman" w:hAnsi="Arial" w:cs="Arial"/>
          <w:sz w:val="18"/>
          <w:szCs w:val="18"/>
          <w:lang w:val="es-ES" w:eastAsia="es-ES"/>
        </w:rPr>
      </w:pPr>
    </w:p>
    <w:p w14:paraId="364DC7B1" w14:textId="77777777" w:rsidR="00AB2DEF" w:rsidRPr="00B327EB" w:rsidRDefault="00AB2DEF" w:rsidP="00E93F7C">
      <w:pPr>
        <w:pStyle w:val="Prrafodelista"/>
        <w:numPr>
          <w:ilvl w:val="0"/>
          <w:numId w:val="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Una posición nocional larga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con madurez residual igual al tiempo que resta hasta el inicio del contrato.</w:t>
      </w:r>
    </w:p>
    <w:p w14:paraId="4EEFB80C"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60F295B5"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el caso contrario (la entidad compra un futuro o vende un FRA), la primera posición nocional descrita es larga y la segunda corta.</w:t>
      </w:r>
    </w:p>
    <w:p w14:paraId="71060BB4"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DE83369" w14:textId="4BC84714"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los futuros y forwards sobre variaciones de índices no accionarios les será aplicable lo establecido en el presente literal (i.e. futuro sobre inflación).</w:t>
      </w:r>
    </w:p>
    <w:p w14:paraId="5D5BA407"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009194F" w14:textId="7A97A2D4" w:rsidR="00AB2DEF" w:rsidRPr="00B327EB" w:rsidRDefault="00AB2DEF" w:rsidP="003A51B5">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Forwards y Operaciones a Plazo sobre títulos de deuda</w:t>
      </w:r>
      <w:r w:rsidR="00DF07B3" w:rsidRPr="00B327EB">
        <w:rPr>
          <w:rFonts w:ascii="Arial" w:eastAsia="Times New Roman" w:hAnsi="Arial" w:cs="Arial"/>
          <w:sz w:val="18"/>
          <w:szCs w:val="18"/>
          <w:lang w:val="es-ES" w:eastAsia="es-ES"/>
        </w:rPr>
        <w:t>.</w:t>
      </w:r>
    </w:p>
    <w:p w14:paraId="264E8F69"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581CE78E" w14:textId="77777777" w:rsidR="00AB2DEF" w:rsidRPr="00B327EB" w:rsidRDefault="00AB2DEF" w:rsidP="003658C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Estos instrumentos deberán ser t</w:t>
      </w:r>
      <w:r w:rsidR="00DF2B76" w:rsidRPr="00B327EB">
        <w:rPr>
          <w:rFonts w:ascii="Arial" w:eastAsia="Times New Roman" w:hAnsi="Arial" w:cs="Arial"/>
          <w:sz w:val="18"/>
          <w:szCs w:val="18"/>
          <w:lang w:val="es-ES" w:eastAsia="es-ES"/>
        </w:rPr>
        <w:t xml:space="preserve">ratados como </w:t>
      </w:r>
      <w:r w:rsidRPr="00B327EB">
        <w:rPr>
          <w:rFonts w:ascii="Arial" w:eastAsia="Times New Roman" w:hAnsi="Arial" w:cs="Arial"/>
          <w:sz w:val="18"/>
          <w:szCs w:val="18"/>
          <w:lang w:val="es-ES" w:eastAsia="es-ES"/>
        </w:rPr>
        <w:t xml:space="preserve">2 posiciones nocionales, una en el título subyacente y otra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Cuando la entidad tenga una posición larga en las operaciones de que trata el presente literal (es decir que se compromete a comprar un título a un precio previamente establecido en un punto de tiempo en el futuro), esta posición se descompone en:</w:t>
      </w:r>
    </w:p>
    <w:p w14:paraId="73DAA0E9"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7EC1617" w14:textId="77777777" w:rsidR="00DF2B76" w:rsidRPr="00B327EB" w:rsidRDefault="00AB2DEF" w:rsidP="003658CB">
      <w:pPr>
        <w:pStyle w:val="Prrafodelista"/>
        <w:numPr>
          <w:ilvl w:val="0"/>
          <w:numId w:val="4"/>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el título subyacente.</w:t>
      </w:r>
    </w:p>
    <w:p w14:paraId="67185296" w14:textId="77777777" w:rsidR="00DF2B76" w:rsidRPr="00B327EB" w:rsidRDefault="00DF2B76" w:rsidP="003658CB">
      <w:pPr>
        <w:pStyle w:val="Prrafodelista"/>
        <w:spacing w:after="0" w:line="240" w:lineRule="auto"/>
        <w:ind w:left="567" w:hanging="283"/>
        <w:jc w:val="both"/>
        <w:rPr>
          <w:rFonts w:ascii="Arial" w:eastAsia="Times New Roman" w:hAnsi="Arial" w:cs="Arial"/>
          <w:sz w:val="18"/>
          <w:szCs w:val="18"/>
          <w:lang w:val="es-ES" w:eastAsia="es-ES"/>
        </w:rPr>
      </w:pPr>
    </w:p>
    <w:p w14:paraId="2B25235A" w14:textId="77777777" w:rsidR="00AB2DEF" w:rsidRPr="00B327EB" w:rsidRDefault="00AB2DEF" w:rsidP="003658CB">
      <w:pPr>
        <w:pStyle w:val="Prrafodelista"/>
        <w:numPr>
          <w:ilvl w:val="0"/>
          <w:numId w:val="4"/>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Una posición nocional corta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con madurez residual igual al tiempo que resta para el cumplimiento del contrato (el valor nominal de esta posición corresponde al precio pactado).</w:t>
      </w:r>
    </w:p>
    <w:p w14:paraId="4ACA0BE3" w14:textId="77777777"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Para el caso contrario (posición corta en el futuro, el forward o la operación a plazo), la primera posición nocional descrita es corta y la segunda larga.</w:t>
      </w:r>
    </w:p>
    <w:p w14:paraId="550250A2" w14:textId="77777777" w:rsidR="00354640" w:rsidRPr="00B327EB" w:rsidRDefault="00354640" w:rsidP="00354640">
      <w:pPr>
        <w:spacing w:after="0" w:line="240" w:lineRule="auto"/>
        <w:ind w:left="284"/>
        <w:jc w:val="both"/>
        <w:rPr>
          <w:rFonts w:ascii="Arial" w:eastAsia="Times New Roman" w:hAnsi="Arial" w:cs="Arial"/>
          <w:sz w:val="18"/>
          <w:szCs w:val="18"/>
          <w:lang w:val="es-ES" w:eastAsia="es-ES"/>
        </w:rPr>
      </w:pPr>
    </w:p>
    <w:p w14:paraId="4436D549" w14:textId="77777777"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el título subyacente de la operación esté denominado en una moneda distinta a la legal, la primera posición nocional descrita deberá ser clasificada en la escalera de duraciones modificadas respectiva y adicionalmente deberá ser tenida en cuenta para calcular la exposición al riesgo de tasa de cambio.</w:t>
      </w:r>
    </w:p>
    <w:p w14:paraId="1F221E04" w14:textId="77777777" w:rsidR="00354640" w:rsidRPr="00B327EB" w:rsidRDefault="00354640" w:rsidP="00354640">
      <w:pPr>
        <w:spacing w:after="0" w:line="240" w:lineRule="auto"/>
        <w:ind w:left="284"/>
        <w:jc w:val="both"/>
        <w:rPr>
          <w:rFonts w:ascii="Arial" w:eastAsia="Times New Roman" w:hAnsi="Arial" w:cs="Arial"/>
          <w:sz w:val="18"/>
          <w:szCs w:val="18"/>
          <w:lang w:val="es-ES" w:eastAsia="es-ES"/>
        </w:rPr>
      </w:pPr>
    </w:p>
    <w:p w14:paraId="06A138D9" w14:textId="705B96AB"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En el caso de los futuros sobre bonos nocionales que se negocien en la Bolsa de Valores de Colombia, la posición nocional larga de que trata el presente literal será calculada cómo el cociente entre el valor a precios de mercado del “</w:t>
      </w:r>
      <w:proofErr w:type="spellStart"/>
      <w:r w:rsidRPr="00B327EB">
        <w:rPr>
          <w:rFonts w:ascii="Arial" w:eastAsia="Times New Roman" w:hAnsi="Arial" w:cs="Arial"/>
          <w:i/>
          <w:sz w:val="18"/>
          <w:szCs w:val="18"/>
          <w:lang w:val="es-ES" w:eastAsia="es-ES"/>
        </w:rPr>
        <w:t>cheapest</w:t>
      </w:r>
      <w:proofErr w:type="spellEnd"/>
      <w:r w:rsidRPr="00B327EB">
        <w:rPr>
          <w:rFonts w:ascii="Arial" w:eastAsia="Times New Roman" w:hAnsi="Arial" w:cs="Arial"/>
          <w:i/>
          <w:sz w:val="18"/>
          <w:szCs w:val="18"/>
          <w:lang w:val="es-ES" w:eastAsia="es-ES"/>
        </w:rPr>
        <w:t xml:space="preserve"> </w:t>
      </w:r>
      <w:proofErr w:type="spellStart"/>
      <w:r w:rsidRPr="00B327EB">
        <w:rPr>
          <w:rFonts w:ascii="Arial" w:eastAsia="Times New Roman" w:hAnsi="Arial" w:cs="Arial"/>
          <w:i/>
          <w:sz w:val="18"/>
          <w:szCs w:val="18"/>
          <w:lang w:val="es-ES" w:eastAsia="es-ES"/>
        </w:rPr>
        <w:t>to</w:t>
      </w:r>
      <w:proofErr w:type="spellEnd"/>
      <w:r w:rsidRPr="00B327EB">
        <w:rPr>
          <w:rFonts w:ascii="Arial" w:eastAsia="Times New Roman" w:hAnsi="Arial" w:cs="Arial"/>
          <w:i/>
          <w:sz w:val="18"/>
          <w:szCs w:val="18"/>
          <w:lang w:val="es-ES" w:eastAsia="es-ES"/>
        </w:rPr>
        <w:t xml:space="preserve"> </w:t>
      </w:r>
      <w:proofErr w:type="spellStart"/>
      <w:r w:rsidRPr="00B327EB">
        <w:rPr>
          <w:rFonts w:ascii="Arial" w:eastAsia="Times New Roman" w:hAnsi="Arial" w:cs="Arial"/>
          <w:i/>
          <w:sz w:val="18"/>
          <w:szCs w:val="18"/>
          <w:lang w:val="es-ES" w:eastAsia="es-ES"/>
        </w:rPr>
        <w:t>deliver</w:t>
      </w:r>
      <w:proofErr w:type="spellEnd"/>
      <w:r w:rsidRPr="00B327EB">
        <w:rPr>
          <w:rFonts w:ascii="Arial" w:eastAsia="Times New Roman" w:hAnsi="Arial" w:cs="Arial"/>
          <w:sz w:val="18"/>
          <w:szCs w:val="18"/>
          <w:lang w:val="es-ES" w:eastAsia="es-ES"/>
        </w:rPr>
        <w:t>” a la fecha de valoración respectiva y el factor de conversión definido por la Bolsa de Valores de Colombia.</w:t>
      </w:r>
    </w:p>
    <w:p w14:paraId="04B00DB1" w14:textId="77777777" w:rsidR="00354640" w:rsidRPr="00B327EB" w:rsidRDefault="00354640" w:rsidP="00354640">
      <w:pPr>
        <w:spacing w:after="0" w:line="240" w:lineRule="auto"/>
        <w:ind w:left="284"/>
        <w:jc w:val="both"/>
        <w:rPr>
          <w:rFonts w:ascii="Arial" w:eastAsia="Times New Roman" w:hAnsi="Arial" w:cs="Arial"/>
          <w:sz w:val="18"/>
          <w:szCs w:val="18"/>
          <w:lang w:val="es-ES" w:eastAsia="es-ES"/>
        </w:rPr>
      </w:pPr>
    </w:p>
    <w:p w14:paraId="720EA2D0" w14:textId="77777777"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este tipo de futuros, la posición nocional corta se definirá de acuerdo con las instrucciones señaladas en el presente literal.</w:t>
      </w:r>
    </w:p>
    <w:p w14:paraId="285FAF3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688F86E" w14:textId="3E85758F" w:rsidR="00AB2DEF" w:rsidRPr="00B327EB" w:rsidRDefault="00AB2DEF" w:rsidP="00623BC0">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Forwards y Operaciones a Plazo sobre divisas</w:t>
      </w:r>
      <w:r w:rsidR="00DC1153" w:rsidRPr="00B327EB">
        <w:rPr>
          <w:rFonts w:ascii="Arial" w:eastAsia="Times New Roman" w:hAnsi="Arial" w:cs="Arial"/>
          <w:sz w:val="18"/>
          <w:szCs w:val="18"/>
          <w:lang w:val="es-ES" w:eastAsia="es-ES"/>
        </w:rPr>
        <w:t>.</w:t>
      </w:r>
    </w:p>
    <w:p w14:paraId="20FBC26C"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3FAF58F8" w14:textId="77777777" w:rsidR="00AB2DEF" w:rsidRPr="00B327EB" w:rsidRDefault="00AB2DEF" w:rsidP="00F36D7C">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Estos instrumentos deberán ser tratados como </w:t>
      </w:r>
      <w:r w:rsidR="00903E18" w:rsidRPr="00B327EB">
        <w:rPr>
          <w:rFonts w:ascii="Arial" w:eastAsia="Times New Roman" w:hAnsi="Arial" w:cs="Arial"/>
          <w:sz w:val="18"/>
          <w:szCs w:val="18"/>
          <w:lang w:val="es-ES" w:eastAsia="es-ES"/>
        </w:rPr>
        <w:t>2</w:t>
      </w:r>
      <w:r w:rsidRPr="00B327EB">
        <w:rPr>
          <w:rFonts w:ascii="Arial" w:eastAsia="Times New Roman" w:hAnsi="Arial" w:cs="Arial"/>
          <w:sz w:val="18"/>
          <w:szCs w:val="18"/>
          <w:lang w:val="es-ES" w:eastAsia="es-ES"/>
        </w:rPr>
        <w:t xml:space="preserve"> posiciones nocionales en bonos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en las monedas aplicables.</w:t>
      </w:r>
    </w:p>
    <w:p w14:paraId="42172CC5"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4F50719" w14:textId="77777777" w:rsidR="00AB2DEF" w:rsidRPr="00B327EB" w:rsidRDefault="00AB2DEF" w:rsidP="00F36D7C">
      <w:pPr>
        <w:pStyle w:val="Prrafodelista"/>
        <w:numPr>
          <w:ilvl w:val="0"/>
          <w:numId w:val="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Una posición nocional larga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denominado en la moneda comprada y con una madurez residual igual al tiempo que resta para el cumplimiento del contrato.</w:t>
      </w:r>
    </w:p>
    <w:p w14:paraId="629BF6D7" w14:textId="77777777" w:rsidR="00354640" w:rsidRPr="00B327EB" w:rsidRDefault="00354640" w:rsidP="00F36D7C">
      <w:pPr>
        <w:pStyle w:val="Prrafodelista"/>
        <w:spacing w:after="0" w:line="240" w:lineRule="auto"/>
        <w:ind w:left="567" w:hanging="283"/>
        <w:jc w:val="both"/>
        <w:rPr>
          <w:rFonts w:ascii="Arial" w:eastAsia="Times New Roman" w:hAnsi="Arial" w:cs="Arial"/>
          <w:sz w:val="18"/>
          <w:szCs w:val="18"/>
          <w:lang w:val="es-ES" w:eastAsia="es-ES"/>
        </w:rPr>
      </w:pPr>
    </w:p>
    <w:p w14:paraId="071E1E3B" w14:textId="77777777" w:rsidR="00AB2DEF" w:rsidRPr="00B327EB" w:rsidRDefault="00AB2DEF" w:rsidP="00F36D7C">
      <w:pPr>
        <w:pStyle w:val="Prrafodelista"/>
        <w:numPr>
          <w:ilvl w:val="0"/>
          <w:numId w:val="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Una posición nocional corta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denominado en la moneda vendida y con una madurez residual igual al tiempo que resta para el cumplimiento del contrato.</w:t>
      </w:r>
    </w:p>
    <w:p w14:paraId="4B302EA6"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297A703D" w14:textId="77777777" w:rsidR="00AB2DEF" w:rsidRPr="00B327EB" w:rsidRDefault="00AB2DEF" w:rsidP="00F36D7C">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Estas posiciones deberán ser tenidas en cuenta para calcular la exposición al riesgo de tasa de cambio.</w:t>
      </w:r>
    </w:p>
    <w:p w14:paraId="06352887"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9308D7B" w14:textId="096816BF" w:rsidR="00AB2DEF" w:rsidRPr="00B327EB" w:rsidRDefault="00AB2DEF" w:rsidP="00623BC0">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Swaps de tasas de interés</w:t>
      </w:r>
      <w:r w:rsidR="00DF07B3" w:rsidRPr="00B327EB">
        <w:rPr>
          <w:rFonts w:ascii="Arial" w:eastAsia="Times New Roman" w:hAnsi="Arial" w:cs="Arial"/>
          <w:sz w:val="18"/>
          <w:szCs w:val="18"/>
          <w:lang w:val="es-ES" w:eastAsia="es-ES"/>
        </w:rPr>
        <w:t>.</w:t>
      </w:r>
    </w:p>
    <w:p w14:paraId="51140DF3"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6B07FCD" w14:textId="77777777"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Estos instrumentos deberán ser tratados como dos posiciones nocionales en bonos subyacentes en las tasas de interés respectivas. En este sentido la posición se descompone en:</w:t>
      </w:r>
    </w:p>
    <w:p w14:paraId="5489880C"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2C23A654" w14:textId="3F9FD2F3" w:rsidR="00AB2DEF" w:rsidRDefault="00AB2DEF" w:rsidP="00623BC0">
      <w:pPr>
        <w:pStyle w:val="Prrafodelista"/>
        <w:numPr>
          <w:ilvl w:val="0"/>
          <w:numId w:val="20"/>
        </w:numPr>
        <w:spacing w:after="0" w:line="240" w:lineRule="auto"/>
        <w:ind w:left="284" w:firstLine="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un título pactado a la tasa de interés que recibe la entidad.</w:t>
      </w:r>
    </w:p>
    <w:p w14:paraId="716C9994" w14:textId="77777777" w:rsidR="00F84982" w:rsidRPr="00B327EB" w:rsidRDefault="00F84982" w:rsidP="00F84982">
      <w:pPr>
        <w:pStyle w:val="Prrafodelista"/>
        <w:spacing w:after="0" w:line="240" w:lineRule="auto"/>
        <w:ind w:left="284"/>
        <w:jc w:val="both"/>
        <w:rPr>
          <w:rFonts w:ascii="Arial" w:eastAsia="Times New Roman" w:hAnsi="Arial" w:cs="Arial"/>
          <w:sz w:val="18"/>
          <w:szCs w:val="18"/>
          <w:lang w:val="es-ES" w:eastAsia="es-ES"/>
        </w:rPr>
      </w:pPr>
    </w:p>
    <w:p w14:paraId="6EB0A999" w14:textId="77777777" w:rsidR="00AB2DEF" w:rsidRPr="00B327EB" w:rsidRDefault="00AB2DEF" w:rsidP="00623BC0">
      <w:pPr>
        <w:pStyle w:val="Prrafodelista"/>
        <w:numPr>
          <w:ilvl w:val="0"/>
          <w:numId w:val="20"/>
        </w:numPr>
        <w:spacing w:after="0" w:line="240" w:lineRule="auto"/>
        <w:ind w:left="284" w:firstLine="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corta en un título pactado a la tasa de interés que la entidad paga.</w:t>
      </w:r>
    </w:p>
    <w:p w14:paraId="7CEA5225"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0A673E8F" w14:textId="71A0F157"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tasa de interés del instrumento subyacente sea fija, la madurez residual correspondiente será igual a la duración del contrato.</w:t>
      </w:r>
    </w:p>
    <w:p w14:paraId="4657983B"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5D79DAF" w14:textId="64E89E29"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los casos en que la tasa de interés sea variable, la duración del flujo se </w:t>
      </w:r>
      <w:r w:rsidR="00DF2B76" w:rsidRPr="00B327EB">
        <w:rPr>
          <w:rFonts w:ascii="Arial" w:eastAsia="Times New Roman" w:hAnsi="Arial" w:cs="Arial"/>
          <w:sz w:val="18"/>
          <w:szCs w:val="18"/>
          <w:lang w:val="es-ES" w:eastAsia="es-ES"/>
        </w:rPr>
        <w:t>debe calcular</w:t>
      </w:r>
      <w:r w:rsidRPr="00B327EB">
        <w:rPr>
          <w:rFonts w:ascii="Arial" w:eastAsia="Times New Roman" w:hAnsi="Arial" w:cs="Arial"/>
          <w:sz w:val="18"/>
          <w:szCs w:val="18"/>
          <w:lang w:val="es-ES" w:eastAsia="es-ES"/>
        </w:rPr>
        <w:t xml:space="preserve"> </w:t>
      </w:r>
      <w:r w:rsidR="00823C5F" w:rsidRPr="00B327EB">
        <w:rPr>
          <w:rFonts w:ascii="Arial" w:eastAsia="Times New Roman" w:hAnsi="Arial" w:cs="Arial"/>
          <w:sz w:val="18"/>
          <w:szCs w:val="18"/>
          <w:lang w:val="es-ES" w:eastAsia="es-ES"/>
        </w:rPr>
        <w:t>de acuerdo con</w:t>
      </w:r>
      <w:r w:rsidR="00903E18" w:rsidRPr="00B327EB">
        <w:rPr>
          <w:rFonts w:ascii="Arial" w:eastAsia="Times New Roman" w:hAnsi="Arial" w:cs="Arial"/>
          <w:sz w:val="18"/>
          <w:szCs w:val="18"/>
          <w:lang w:val="es-ES" w:eastAsia="es-ES"/>
        </w:rPr>
        <w:t xml:space="preserve"> lo estipulado en el numeral </w:t>
      </w:r>
      <w:r w:rsidR="004B55FF" w:rsidRPr="00B327EB">
        <w:rPr>
          <w:rFonts w:ascii="Arial" w:eastAsia="Times New Roman" w:hAnsi="Arial" w:cs="Arial"/>
          <w:sz w:val="18"/>
          <w:szCs w:val="18"/>
          <w:lang w:val="es-ES" w:eastAsia="es-ES"/>
        </w:rPr>
        <w:t>2.2.1</w:t>
      </w:r>
      <w:r w:rsidRPr="00B327EB">
        <w:rPr>
          <w:rFonts w:ascii="Arial" w:eastAsia="Times New Roman" w:hAnsi="Arial" w:cs="Arial"/>
          <w:sz w:val="18"/>
          <w:szCs w:val="18"/>
          <w:lang w:val="es-ES" w:eastAsia="es-ES"/>
        </w:rPr>
        <w:t xml:space="preserve"> del presente anexo para dichas posiciones.</w:t>
      </w:r>
    </w:p>
    <w:p w14:paraId="79A16410"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2BC92315" w14:textId="77777777"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En el caso de swaps que involucren posiciones en distintas monedas (</w:t>
      </w:r>
      <w:proofErr w:type="spellStart"/>
      <w:r w:rsidRPr="00B327EB">
        <w:rPr>
          <w:rFonts w:ascii="Arial" w:eastAsia="Times New Roman" w:hAnsi="Arial" w:cs="Arial"/>
          <w:i/>
          <w:sz w:val="18"/>
          <w:szCs w:val="18"/>
          <w:lang w:val="es-ES" w:eastAsia="es-ES"/>
        </w:rPr>
        <w:t>cross</w:t>
      </w:r>
      <w:proofErr w:type="spellEnd"/>
      <w:r w:rsidRPr="00B327EB">
        <w:rPr>
          <w:rFonts w:ascii="Arial" w:eastAsia="Times New Roman" w:hAnsi="Arial" w:cs="Arial"/>
          <w:i/>
          <w:sz w:val="18"/>
          <w:szCs w:val="18"/>
          <w:lang w:val="es-ES" w:eastAsia="es-ES"/>
        </w:rPr>
        <w:t xml:space="preserve"> </w:t>
      </w:r>
      <w:proofErr w:type="spellStart"/>
      <w:r w:rsidRPr="00B327EB">
        <w:rPr>
          <w:rFonts w:ascii="Arial" w:eastAsia="Times New Roman" w:hAnsi="Arial" w:cs="Arial"/>
          <w:i/>
          <w:sz w:val="18"/>
          <w:szCs w:val="18"/>
          <w:lang w:val="es-ES" w:eastAsia="es-ES"/>
        </w:rPr>
        <w:t>currency</w:t>
      </w:r>
      <w:proofErr w:type="spellEnd"/>
      <w:r w:rsidRPr="00B327EB">
        <w:rPr>
          <w:rFonts w:ascii="Arial" w:eastAsia="Times New Roman" w:hAnsi="Arial" w:cs="Arial"/>
          <w:i/>
          <w:sz w:val="18"/>
          <w:szCs w:val="18"/>
          <w:lang w:val="es-ES" w:eastAsia="es-ES"/>
        </w:rPr>
        <w:t xml:space="preserve"> swaps</w:t>
      </w:r>
      <w:r w:rsidRPr="00B327EB">
        <w:rPr>
          <w:rFonts w:ascii="Arial" w:eastAsia="Times New Roman" w:hAnsi="Arial" w:cs="Arial"/>
          <w:sz w:val="18"/>
          <w:szCs w:val="18"/>
          <w:lang w:val="es-ES" w:eastAsia="es-ES"/>
        </w:rPr>
        <w:t>) cada una de las posiciones deberá ser clasificada en la respectiva escalera para el cálculo del riesgo de tasa de interés y adicionalmente deberá ser tenida en cuenta para calcular la exposición al riesgo de tasa de cambio.</w:t>
      </w:r>
    </w:p>
    <w:p w14:paraId="796C532F"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5E53B4AB" w14:textId="6C9475E7" w:rsidR="00AB2DEF"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los futuros cuya estructura se asemeje a intercambios de flujos calculados sobre tasas de interés les será aplicable lo establecido en el presente literal (i.e. futuro sobre IBR).</w:t>
      </w:r>
    </w:p>
    <w:p w14:paraId="167C196E" w14:textId="31E843D7" w:rsidR="00FD7F79" w:rsidRDefault="00FD7F79" w:rsidP="00623BC0">
      <w:pPr>
        <w:spacing w:after="0" w:line="240" w:lineRule="auto"/>
        <w:ind w:left="284"/>
        <w:jc w:val="both"/>
        <w:rPr>
          <w:rFonts w:ascii="Arial" w:eastAsia="Times New Roman" w:hAnsi="Arial" w:cs="Arial"/>
          <w:sz w:val="18"/>
          <w:szCs w:val="18"/>
          <w:lang w:val="es-ES" w:eastAsia="es-ES"/>
        </w:rPr>
      </w:pPr>
    </w:p>
    <w:p w14:paraId="1153AD28" w14:textId="1433C2B2" w:rsidR="00FD7F79" w:rsidRPr="00FD7F79" w:rsidRDefault="002F2220" w:rsidP="00982025">
      <w:pPr>
        <w:pBdr>
          <w:left w:val="single" w:sz="4" w:space="4" w:color="auto"/>
        </w:pBdr>
        <w:spacing w:after="0" w:line="240" w:lineRule="auto"/>
        <w:ind w:left="284"/>
        <w:jc w:val="both"/>
        <w:rPr>
          <w:rFonts w:ascii="Arial" w:eastAsia="Times New Roman" w:hAnsi="Arial" w:cs="Arial"/>
          <w:b/>
          <w:sz w:val="18"/>
          <w:szCs w:val="18"/>
          <w:lang w:val="es-MX" w:eastAsia="es-ES"/>
        </w:rPr>
      </w:pPr>
      <w:r>
        <w:rPr>
          <w:rFonts w:ascii="Arial" w:eastAsia="Times New Roman" w:hAnsi="Arial" w:cs="Arial"/>
          <w:b/>
          <w:sz w:val="18"/>
          <w:szCs w:val="18"/>
          <w:lang w:val="es-MX" w:eastAsia="es-ES"/>
        </w:rPr>
        <w:t>Los</w:t>
      </w:r>
      <w:r w:rsidR="00FD7F79" w:rsidRPr="00FD7F79">
        <w:rPr>
          <w:rFonts w:ascii="Arial" w:eastAsia="Times New Roman" w:hAnsi="Arial" w:cs="Arial"/>
          <w:b/>
          <w:sz w:val="18"/>
          <w:szCs w:val="18"/>
          <w:lang w:val="es-MX" w:eastAsia="es-ES"/>
        </w:rPr>
        <w:t xml:space="preserve"> derivados de crédito que involucren el intercambio de los flujos completos de un activo por una tasa de interés pactada (</w:t>
      </w:r>
      <w:r w:rsidR="00FD7F79" w:rsidRPr="00FD7F79">
        <w:rPr>
          <w:rFonts w:ascii="Arial" w:eastAsia="Times New Roman" w:hAnsi="Arial" w:cs="Arial"/>
          <w:b/>
          <w:i/>
          <w:sz w:val="18"/>
          <w:szCs w:val="18"/>
          <w:lang w:val="es-MX" w:eastAsia="es-ES"/>
        </w:rPr>
        <w:t xml:space="preserve">Total </w:t>
      </w:r>
      <w:proofErr w:type="spellStart"/>
      <w:r w:rsidR="00FD7F79" w:rsidRPr="00FD7F79">
        <w:rPr>
          <w:rFonts w:ascii="Arial" w:eastAsia="Times New Roman" w:hAnsi="Arial" w:cs="Arial"/>
          <w:b/>
          <w:i/>
          <w:sz w:val="18"/>
          <w:szCs w:val="18"/>
          <w:lang w:val="es-MX" w:eastAsia="es-ES"/>
        </w:rPr>
        <w:t>Return</w:t>
      </w:r>
      <w:proofErr w:type="spellEnd"/>
      <w:r w:rsidR="00FD7F79" w:rsidRPr="00FD7F79">
        <w:rPr>
          <w:rFonts w:ascii="Arial" w:eastAsia="Times New Roman" w:hAnsi="Arial" w:cs="Arial"/>
          <w:b/>
          <w:i/>
          <w:sz w:val="18"/>
          <w:szCs w:val="18"/>
          <w:lang w:val="es-MX" w:eastAsia="es-ES"/>
        </w:rPr>
        <w:t xml:space="preserve"> Swaps), </w:t>
      </w:r>
      <w:r w:rsidR="00FD7F79" w:rsidRPr="00FD7F79">
        <w:rPr>
          <w:rFonts w:ascii="Arial" w:eastAsia="Times New Roman" w:hAnsi="Arial" w:cs="Arial"/>
          <w:b/>
          <w:sz w:val="18"/>
          <w:szCs w:val="18"/>
          <w:lang w:val="es-MX" w:eastAsia="es-ES"/>
        </w:rPr>
        <w:t>deberán ser tratados como dos posiciones nocionales separadas</w:t>
      </w:r>
      <w:r>
        <w:rPr>
          <w:rFonts w:ascii="Arial" w:eastAsia="Times New Roman" w:hAnsi="Arial" w:cs="Arial"/>
          <w:b/>
          <w:sz w:val="18"/>
          <w:szCs w:val="18"/>
          <w:lang w:val="es-MX" w:eastAsia="es-ES"/>
        </w:rPr>
        <w:t>, así</w:t>
      </w:r>
      <w:r w:rsidR="00FD7F79" w:rsidRPr="00FD7F79">
        <w:rPr>
          <w:rFonts w:ascii="Arial" w:eastAsia="Times New Roman" w:hAnsi="Arial" w:cs="Arial"/>
          <w:b/>
          <w:sz w:val="18"/>
          <w:szCs w:val="18"/>
          <w:lang w:val="es-MX" w:eastAsia="es-ES"/>
        </w:rPr>
        <w:t xml:space="preserve">: </w:t>
      </w:r>
    </w:p>
    <w:p w14:paraId="522682C4" w14:textId="77777777" w:rsidR="00FD7F79" w:rsidRPr="00FD7F79" w:rsidRDefault="00FD7F79" w:rsidP="00982025">
      <w:pPr>
        <w:pBdr>
          <w:left w:val="single" w:sz="4" w:space="4" w:color="auto"/>
        </w:pBdr>
        <w:spacing w:after="0" w:line="240" w:lineRule="auto"/>
        <w:ind w:left="284"/>
        <w:jc w:val="both"/>
        <w:rPr>
          <w:rFonts w:ascii="Arial" w:eastAsia="Times New Roman" w:hAnsi="Arial" w:cs="Arial"/>
          <w:b/>
          <w:sz w:val="18"/>
          <w:szCs w:val="18"/>
          <w:lang w:val="es-MX" w:eastAsia="es-ES"/>
        </w:rPr>
      </w:pPr>
    </w:p>
    <w:p w14:paraId="28F4AB79" w14:textId="7EF029DF" w:rsidR="00FD7F79" w:rsidRDefault="00FD7F79" w:rsidP="00982025">
      <w:pPr>
        <w:numPr>
          <w:ilvl w:val="0"/>
          <w:numId w:val="33"/>
        </w:numPr>
        <w:pBdr>
          <w:left w:val="single" w:sz="4" w:space="4" w:color="auto"/>
        </w:pBdr>
        <w:spacing w:after="0" w:line="240" w:lineRule="auto"/>
        <w:ind w:hanging="436"/>
        <w:jc w:val="both"/>
        <w:rPr>
          <w:rFonts w:ascii="Arial" w:eastAsia="Times New Roman" w:hAnsi="Arial" w:cs="Arial"/>
          <w:b/>
          <w:sz w:val="18"/>
          <w:szCs w:val="18"/>
          <w:lang w:val="es-MX" w:eastAsia="es-ES"/>
        </w:rPr>
      </w:pPr>
      <w:r w:rsidRPr="00FD7F79">
        <w:rPr>
          <w:rFonts w:ascii="Arial" w:eastAsia="Times New Roman" w:hAnsi="Arial" w:cs="Arial"/>
          <w:b/>
          <w:sz w:val="18"/>
          <w:szCs w:val="18"/>
          <w:lang w:val="es-MX" w:eastAsia="es-ES"/>
        </w:rPr>
        <w:t xml:space="preserve">Una posición nocional larga </w:t>
      </w:r>
      <w:r w:rsidR="006F0EBD">
        <w:rPr>
          <w:rFonts w:ascii="Arial" w:eastAsia="Times New Roman" w:hAnsi="Arial" w:cs="Arial"/>
          <w:b/>
          <w:sz w:val="18"/>
          <w:szCs w:val="18"/>
          <w:lang w:val="es-MX" w:eastAsia="es-ES"/>
        </w:rPr>
        <w:t xml:space="preserve">o corta </w:t>
      </w:r>
      <w:r w:rsidRPr="00FD7F79">
        <w:rPr>
          <w:rFonts w:ascii="Arial" w:eastAsia="Times New Roman" w:hAnsi="Arial" w:cs="Arial"/>
          <w:b/>
          <w:sz w:val="18"/>
          <w:szCs w:val="18"/>
          <w:lang w:val="es-MX" w:eastAsia="es-ES"/>
        </w:rPr>
        <w:t xml:space="preserve">en el título de referencia </w:t>
      </w:r>
      <w:r w:rsidR="00D66F7B">
        <w:rPr>
          <w:rFonts w:ascii="Arial" w:eastAsia="Times New Roman" w:hAnsi="Arial" w:cs="Arial"/>
          <w:b/>
          <w:sz w:val="18"/>
          <w:szCs w:val="18"/>
          <w:lang w:val="es-MX" w:eastAsia="es-ES"/>
        </w:rPr>
        <w:t>(su</w:t>
      </w:r>
      <w:r w:rsidR="009E7FF6">
        <w:rPr>
          <w:rFonts w:ascii="Arial" w:eastAsia="Times New Roman" w:hAnsi="Arial" w:cs="Arial"/>
          <w:b/>
          <w:sz w:val="18"/>
          <w:szCs w:val="18"/>
          <w:lang w:val="es-MX" w:eastAsia="es-ES"/>
        </w:rPr>
        <w:t>byacente del derivado</w:t>
      </w:r>
      <w:r w:rsidR="00D66F7B">
        <w:rPr>
          <w:rFonts w:ascii="Arial" w:eastAsia="Times New Roman" w:hAnsi="Arial" w:cs="Arial"/>
          <w:b/>
          <w:sz w:val="18"/>
          <w:szCs w:val="18"/>
          <w:lang w:val="es-MX" w:eastAsia="es-ES"/>
        </w:rPr>
        <w:t xml:space="preserve">) </w:t>
      </w:r>
      <w:r w:rsidRPr="00FD7F79">
        <w:rPr>
          <w:rFonts w:ascii="Arial" w:eastAsia="Times New Roman" w:hAnsi="Arial" w:cs="Arial"/>
          <w:b/>
          <w:sz w:val="18"/>
          <w:szCs w:val="18"/>
          <w:lang w:val="es-MX" w:eastAsia="es-ES"/>
        </w:rPr>
        <w:t>que recibe o paga la entidad.</w:t>
      </w:r>
    </w:p>
    <w:p w14:paraId="17576EA0" w14:textId="77777777" w:rsidR="00982025" w:rsidRPr="00982025" w:rsidRDefault="00982025" w:rsidP="00982025">
      <w:pPr>
        <w:pBdr>
          <w:left w:val="single" w:sz="4" w:space="4" w:color="auto"/>
        </w:pBdr>
        <w:spacing w:after="0" w:line="240" w:lineRule="auto"/>
        <w:ind w:left="284"/>
        <w:jc w:val="both"/>
        <w:rPr>
          <w:rFonts w:ascii="Arial" w:eastAsia="Times New Roman" w:hAnsi="Arial" w:cs="Arial"/>
          <w:b/>
          <w:sz w:val="18"/>
          <w:szCs w:val="18"/>
          <w:lang w:val="es-MX" w:eastAsia="es-ES"/>
        </w:rPr>
      </w:pPr>
    </w:p>
    <w:p w14:paraId="4D630C56" w14:textId="60F52F01" w:rsidR="00FD7F79" w:rsidRPr="00FD7F79" w:rsidRDefault="00FD7F79" w:rsidP="00982025">
      <w:pPr>
        <w:numPr>
          <w:ilvl w:val="0"/>
          <w:numId w:val="33"/>
        </w:numPr>
        <w:pBdr>
          <w:left w:val="single" w:sz="4" w:space="4" w:color="auto"/>
        </w:pBdr>
        <w:spacing w:after="0" w:line="240" w:lineRule="auto"/>
        <w:ind w:hanging="436"/>
        <w:jc w:val="both"/>
        <w:rPr>
          <w:rFonts w:ascii="Arial" w:eastAsia="Times New Roman" w:hAnsi="Arial" w:cs="Arial"/>
          <w:b/>
          <w:sz w:val="18"/>
          <w:szCs w:val="18"/>
          <w:lang w:val="es-MX" w:eastAsia="es-ES"/>
        </w:rPr>
      </w:pPr>
      <w:r w:rsidRPr="00FD7F79">
        <w:rPr>
          <w:rFonts w:ascii="Arial" w:eastAsia="Times New Roman" w:hAnsi="Arial" w:cs="Arial"/>
          <w:b/>
          <w:sz w:val="18"/>
          <w:szCs w:val="18"/>
          <w:lang w:val="es-MX" w:eastAsia="es-ES"/>
        </w:rPr>
        <w:t xml:space="preserve">Una posición nocional </w:t>
      </w:r>
      <w:r w:rsidR="009E7FF6">
        <w:rPr>
          <w:rFonts w:ascii="Arial" w:eastAsia="Times New Roman" w:hAnsi="Arial" w:cs="Arial"/>
          <w:b/>
          <w:sz w:val="18"/>
          <w:szCs w:val="18"/>
          <w:lang w:val="es-MX" w:eastAsia="es-ES"/>
        </w:rPr>
        <w:t xml:space="preserve">larga o </w:t>
      </w:r>
      <w:r w:rsidRPr="00FD7F79">
        <w:rPr>
          <w:rFonts w:ascii="Arial" w:eastAsia="Times New Roman" w:hAnsi="Arial" w:cs="Arial"/>
          <w:b/>
          <w:sz w:val="18"/>
          <w:szCs w:val="18"/>
          <w:lang w:val="es-MX" w:eastAsia="es-ES"/>
        </w:rPr>
        <w:t>corta en un título pactado a la tasa de interés que la entidad</w:t>
      </w:r>
      <w:r w:rsidR="009E7FF6">
        <w:rPr>
          <w:rFonts w:ascii="Arial" w:eastAsia="Times New Roman" w:hAnsi="Arial" w:cs="Arial"/>
          <w:b/>
          <w:sz w:val="18"/>
          <w:szCs w:val="18"/>
          <w:lang w:val="es-MX" w:eastAsia="es-ES"/>
        </w:rPr>
        <w:t xml:space="preserve"> recibe o</w:t>
      </w:r>
      <w:r w:rsidRPr="00FD7F79">
        <w:rPr>
          <w:rFonts w:ascii="Arial" w:eastAsia="Times New Roman" w:hAnsi="Arial" w:cs="Arial"/>
          <w:b/>
          <w:sz w:val="18"/>
          <w:szCs w:val="18"/>
          <w:lang w:val="es-MX" w:eastAsia="es-ES"/>
        </w:rPr>
        <w:t xml:space="preserve"> paga. </w:t>
      </w:r>
    </w:p>
    <w:p w14:paraId="6BDD0EBD" w14:textId="77777777" w:rsidR="00FD7F79" w:rsidRPr="00FD7F79" w:rsidRDefault="00FD7F79" w:rsidP="00982025">
      <w:pPr>
        <w:pBdr>
          <w:left w:val="single" w:sz="4" w:space="4" w:color="auto"/>
        </w:pBdr>
        <w:spacing w:after="0" w:line="240" w:lineRule="auto"/>
        <w:ind w:left="284"/>
        <w:jc w:val="both"/>
        <w:rPr>
          <w:rFonts w:ascii="Arial" w:eastAsia="Times New Roman" w:hAnsi="Arial" w:cs="Arial"/>
          <w:b/>
          <w:sz w:val="18"/>
          <w:szCs w:val="18"/>
          <w:lang w:val="es-MX" w:eastAsia="es-ES"/>
        </w:rPr>
      </w:pPr>
    </w:p>
    <w:p w14:paraId="1A8B5E26" w14:textId="21B5F0ED" w:rsidR="00FD7F79" w:rsidRPr="00FD7F79" w:rsidRDefault="00FD7F79" w:rsidP="00982025">
      <w:pPr>
        <w:pBdr>
          <w:left w:val="single" w:sz="4" w:space="4" w:color="auto"/>
        </w:pBdr>
        <w:spacing w:after="0" w:line="240" w:lineRule="auto"/>
        <w:ind w:left="284"/>
        <w:jc w:val="both"/>
        <w:rPr>
          <w:rFonts w:ascii="Arial" w:eastAsia="Times New Roman" w:hAnsi="Arial" w:cs="Arial"/>
          <w:b/>
          <w:sz w:val="18"/>
          <w:szCs w:val="18"/>
          <w:lang w:val="es-MX" w:eastAsia="es-ES"/>
        </w:rPr>
      </w:pPr>
      <w:r w:rsidRPr="00FD7F79">
        <w:rPr>
          <w:rFonts w:ascii="Arial" w:eastAsia="Times New Roman" w:hAnsi="Arial" w:cs="Arial"/>
          <w:b/>
          <w:sz w:val="18"/>
          <w:szCs w:val="18"/>
          <w:lang w:val="es-MX" w:eastAsia="es-ES"/>
        </w:rPr>
        <w:t xml:space="preserve">Dependiendo de la naturaleza del título subyacente, se deberá aplicar el factor de riesgo correspondiente </w:t>
      </w:r>
      <w:r w:rsidR="008130D1">
        <w:rPr>
          <w:rFonts w:ascii="Arial" w:eastAsia="Times New Roman" w:hAnsi="Arial" w:cs="Arial"/>
          <w:b/>
          <w:sz w:val="18"/>
          <w:szCs w:val="18"/>
          <w:lang w:val="es-MX" w:eastAsia="es-ES"/>
        </w:rPr>
        <w:t xml:space="preserve">de acuerdo con lo previsto en el presente </w:t>
      </w:r>
      <w:r w:rsidR="002F2220">
        <w:rPr>
          <w:rFonts w:ascii="Arial" w:eastAsia="Times New Roman" w:hAnsi="Arial" w:cs="Arial"/>
          <w:b/>
          <w:sz w:val="18"/>
          <w:szCs w:val="18"/>
          <w:lang w:val="es-MX" w:eastAsia="es-ES"/>
        </w:rPr>
        <w:t>A</w:t>
      </w:r>
      <w:r w:rsidR="008130D1">
        <w:rPr>
          <w:rFonts w:ascii="Arial" w:eastAsia="Times New Roman" w:hAnsi="Arial" w:cs="Arial"/>
          <w:b/>
          <w:sz w:val="18"/>
          <w:szCs w:val="18"/>
          <w:lang w:val="es-MX" w:eastAsia="es-ES"/>
        </w:rPr>
        <w:t>nexo</w:t>
      </w:r>
      <w:r w:rsidRPr="00FD7F79">
        <w:rPr>
          <w:rFonts w:ascii="Arial" w:eastAsia="Times New Roman" w:hAnsi="Arial" w:cs="Arial"/>
          <w:b/>
          <w:sz w:val="18"/>
          <w:szCs w:val="18"/>
          <w:lang w:val="es-MX" w:eastAsia="es-ES"/>
        </w:rPr>
        <w:t xml:space="preserve">.  </w:t>
      </w:r>
    </w:p>
    <w:p w14:paraId="367F4F65" w14:textId="77777777" w:rsidR="00FD7F79" w:rsidRPr="00B327EB" w:rsidRDefault="00FD7F79" w:rsidP="00623BC0">
      <w:pPr>
        <w:spacing w:after="0" w:line="240" w:lineRule="auto"/>
        <w:ind w:left="284"/>
        <w:jc w:val="both"/>
        <w:rPr>
          <w:rFonts w:ascii="Arial" w:eastAsia="Times New Roman" w:hAnsi="Arial" w:cs="Arial"/>
          <w:sz w:val="18"/>
          <w:szCs w:val="18"/>
          <w:lang w:val="es-ES" w:eastAsia="es-ES"/>
        </w:rPr>
      </w:pPr>
    </w:p>
    <w:p w14:paraId="40C9137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C46EE5E" w14:textId="37AA1DC1"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Forwards y Operaciones a Plazo sobre acciones (o índices de acciones)</w:t>
      </w:r>
      <w:r w:rsidR="00DF07B3" w:rsidRPr="00B327EB">
        <w:rPr>
          <w:rFonts w:ascii="Arial" w:eastAsia="Times New Roman" w:hAnsi="Arial" w:cs="Arial"/>
          <w:sz w:val="18"/>
          <w:szCs w:val="18"/>
          <w:lang w:val="es-ES" w:eastAsia="es-ES"/>
        </w:rPr>
        <w:t>.</w:t>
      </w:r>
    </w:p>
    <w:p w14:paraId="1A736561"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8337BB7"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Estas operaciones deben descomponerse en 2 posiciones nocionales, una correspondiente a la acción (o índice de acciones) subyacente y otra correspondiente a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con madurez residual igual al tiempo remanente para el cumplimiento del contrato.</w:t>
      </w:r>
    </w:p>
    <w:p w14:paraId="4F31C1E3"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4A1E0714" w14:textId="4C6E10D6"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entidad tenga una posición larga en las operaciones</w:t>
      </w:r>
      <w:r w:rsidR="00885E5D"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que trata el presente literal (es decir que se compromete a comprar una acción o índice de acciones a un precio previamente establecido en un punto de tiempo en el futuro), esta posición se descompone en:</w:t>
      </w:r>
    </w:p>
    <w:p w14:paraId="5813D758"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D025DCF" w14:textId="77777777" w:rsidR="00DF2B76" w:rsidRPr="00B327EB" w:rsidRDefault="00AB2DEF" w:rsidP="00261664">
      <w:pPr>
        <w:pStyle w:val="Prrafodelista"/>
        <w:numPr>
          <w:ilvl w:val="0"/>
          <w:numId w:val="7"/>
        </w:numPr>
        <w:spacing w:after="0" w:line="240" w:lineRule="auto"/>
        <w:ind w:left="284" w:firstLine="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el título subyacente.</w:t>
      </w:r>
    </w:p>
    <w:p w14:paraId="5ED5BC58" w14:textId="77777777" w:rsidR="00DF2B76" w:rsidRPr="00B327EB" w:rsidRDefault="00DF2B76" w:rsidP="00261664">
      <w:pPr>
        <w:pStyle w:val="Prrafodelista"/>
        <w:spacing w:after="0" w:line="240" w:lineRule="auto"/>
        <w:ind w:left="284"/>
        <w:jc w:val="both"/>
        <w:rPr>
          <w:rFonts w:ascii="Arial" w:eastAsia="Times New Roman" w:hAnsi="Arial" w:cs="Arial"/>
          <w:sz w:val="18"/>
          <w:szCs w:val="18"/>
          <w:lang w:val="es-ES" w:eastAsia="es-ES"/>
        </w:rPr>
      </w:pPr>
    </w:p>
    <w:p w14:paraId="48A75668" w14:textId="77777777" w:rsidR="00AB2DEF" w:rsidRPr="00B327EB" w:rsidRDefault="00AB2DEF" w:rsidP="00067851">
      <w:pPr>
        <w:pStyle w:val="Prrafodelista"/>
        <w:numPr>
          <w:ilvl w:val="0"/>
          <w:numId w:val="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 Una posición nocional corta en un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con madurez residual igual al tiempo que resta para el cumplimiento del contrato (el valor nominal de esta posición corresponde al precio pactado).</w:t>
      </w:r>
    </w:p>
    <w:p w14:paraId="08B8BA31"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56AAB6D6"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el caso contrario (posición corta en el futuro, el forward o la operación a plazo), la primera posición nocional descrita es corta y la segunda larga.</w:t>
      </w:r>
    </w:p>
    <w:p w14:paraId="6C1E15CC"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6E350E86" w14:textId="6E4CB2C8" w:rsidR="00AB2DEF"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Sólo la posición en el bono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computará en el cálculo de riesgo de tasa de interés. La posición en acciones será incluida en el módulo de Riesgo de precio de acciones.</w:t>
      </w:r>
    </w:p>
    <w:p w14:paraId="0F7391C7" w14:textId="77777777" w:rsidR="00F84982" w:rsidRPr="00B327EB" w:rsidRDefault="00F84982" w:rsidP="00261664">
      <w:pPr>
        <w:spacing w:after="0" w:line="240" w:lineRule="auto"/>
        <w:ind w:left="284"/>
        <w:jc w:val="both"/>
        <w:rPr>
          <w:rFonts w:ascii="Arial" w:eastAsia="Times New Roman" w:hAnsi="Arial" w:cs="Arial"/>
          <w:sz w:val="18"/>
          <w:szCs w:val="18"/>
          <w:lang w:val="es-ES" w:eastAsia="es-ES"/>
        </w:rPr>
      </w:pPr>
    </w:p>
    <w:p w14:paraId="047B2245" w14:textId="26A1EB44"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Operaciones Carrusel</w:t>
      </w:r>
      <w:r w:rsidR="00DF07B3" w:rsidRPr="00B327EB">
        <w:rPr>
          <w:rFonts w:ascii="Arial" w:eastAsia="Times New Roman" w:hAnsi="Arial" w:cs="Arial"/>
          <w:sz w:val="18"/>
          <w:szCs w:val="18"/>
          <w:lang w:val="es-ES" w:eastAsia="es-ES"/>
        </w:rPr>
        <w:t>.</w:t>
      </w:r>
    </w:p>
    <w:p w14:paraId="3484C393"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2DE60A6" w14:textId="6D8FBCC8"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términos financieros, un carrusel consiste en una secuencia de operaciones de compra y venta de un título a futuro. Por lo anterior, para efectos de la exposición a riesgos de mercado de que trata el presente </w:t>
      </w:r>
      <w:r w:rsidR="00144E92" w:rsidRPr="00B327EB">
        <w:rPr>
          <w:rFonts w:ascii="Arial" w:eastAsia="Times New Roman" w:hAnsi="Arial" w:cs="Arial"/>
          <w:sz w:val="18"/>
          <w:szCs w:val="18"/>
          <w:lang w:val="es-ES" w:eastAsia="es-ES"/>
        </w:rPr>
        <w:t>C</w:t>
      </w:r>
      <w:r w:rsidRPr="00B327EB">
        <w:rPr>
          <w:rFonts w:ascii="Arial" w:eastAsia="Times New Roman" w:hAnsi="Arial" w:cs="Arial"/>
          <w:sz w:val="18"/>
          <w:szCs w:val="18"/>
          <w:lang w:val="es-ES" w:eastAsia="es-ES"/>
        </w:rPr>
        <w:t>apítulo, estas operaciones debe</w:t>
      </w:r>
      <w:r w:rsidR="009A0A72" w:rsidRPr="00B327EB">
        <w:rPr>
          <w:rFonts w:ascii="Arial" w:eastAsia="Times New Roman" w:hAnsi="Arial" w:cs="Arial"/>
          <w:sz w:val="18"/>
          <w:szCs w:val="18"/>
          <w:lang w:val="es-ES" w:eastAsia="es-ES"/>
        </w:rPr>
        <w:t>n</w:t>
      </w:r>
      <w:r w:rsidRPr="00B327EB">
        <w:rPr>
          <w:rFonts w:ascii="Arial" w:eastAsia="Times New Roman" w:hAnsi="Arial" w:cs="Arial"/>
          <w:sz w:val="18"/>
          <w:szCs w:val="18"/>
          <w:lang w:val="es-ES" w:eastAsia="es-ES"/>
        </w:rPr>
        <w:t xml:space="preserve"> ser tratadas como una serie de operaciones de compra y venta a futuro del título subyacente. Cada una de estas operaciones deberá ser tratada </w:t>
      </w:r>
      <w:r w:rsidR="00823C5F"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lo estipulado en el literal b del presente numeral.</w:t>
      </w:r>
    </w:p>
    <w:p w14:paraId="5E623677"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82E80E5" w14:textId="689C3801"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Opciones</w:t>
      </w:r>
      <w:r w:rsidR="00DF07B3" w:rsidRPr="00B327EB">
        <w:rPr>
          <w:rFonts w:ascii="Arial" w:eastAsia="Times New Roman" w:hAnsi="Arial" w:cs="Arial"/>
          <w:sz w:val="18"/>
          <w:szCs w:val="18"/>
          <w:lang w:val="es-ES" w:eastAsia="es-ES"/>
        </w:rPr>
        <w:t>.</w:t>
      </w:r>
    </w:p>
    <w:p w14:paraId="6CC73F13" w14:textId="77777777" w:rsidR="00354640" w:rsidRPr="00B327EB" w:rsidRDefault="00354640" w:rsidP="00261664">
      <w:pPr>
        <w:spacing w:after="0" w:line="240" w:lineRule="auto"/>
        <w:ind w:left="284" w:hanging="284"/>
        <w:jc w:val="both"/>
        <w:rPr>
          <w:rFonts w:ascii="Arial" w:eastAsia="Times New Roman" w:hAnsi="Arial" w:cs="Arial"/>
          <w:sz w:val="18"/>
          <w:szCs w:val="18"/>
          <w:lang w:val="es-ES" w:eastAsia="es-ES"/>
        </w:rPr>
      </w:pPr>
    </w:p>
    <w:p w14:paraId="1B139AB3" w14:textId="3EB2A84D"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tratamiento de estas operaciones se descri</w:t>
      </w:r>
      <w:r w:rsidR="009A0A72" w:rsidRPr="00B327EB">
        <w:rPr>
          <w:rFonts w:ascii="Arial" w:eastAsia="Times New Roman" w:hAnsi="Arial" w:cs="Arial"/>
          <w:sz w:val="18"/>
          <w:szCs w:val="18"/>
          <w:lang w:val="es-ES" w:eastAsia="es-ES"/>
        </w:rPr>
        <w:t>be</w:t>
      </w:r>
      <w:r w:rsidRPr="00B327EB">
        <w:rPr>
          <w:rFonts w:ascii="Arial" w:eastAsia="Times New Roman" w:hAnsi="Arial" w:cs="Arial"/>
          <w:sz w:val="18"/>
          <w:szCs w:val="18"/>
          <w:lang w:val="es-ES" w:eastAsia="es-ES"/>
        </w:rPr>
        <w:t xml:space="preserve"> en </w:t>
      </w:r>
      <w:r w:rsidR="00823C5F" w:rsidRPr="00B327EB">
        <w:rPr>
          <w:rFonts w:ascii="Arial" w:eastAsia="Times New Roman" w:hAnsi="Arial" w:cs="Arial"/>
          <w:sz w:val="18"/>
          <w:szCs w:val="18"/>
          <w:lang w:val="es-ES" w:eastAsia="es-ES"/>
        </w:rPr>
        <w:t xml:space="preserve">el </w:t>
      </w:r>
      <w:proofErr w:type="spellStart"/>
      <w:r w:rsidR="00823C5F" w:rsidRPr="00B327EB">
        <w:rPr>
          <w:rFonts w:ascii="Arial" w:eastAsia="Times New Roman" w:hAnsi="Arial" w:cs="Arial"/>
          <w:sz w:val="18"/>
          <w:szCs w:val="18"/>
          <w:lang w:val="es-ES" w:eastAsia="es-ES"/>
        </w:rPr>
        <w:t>subnumeral</w:t>
      </w:r>
      <w:proofErr w:type="spellEnd"/>
      <w:r w:rsidRPr="00B327EB">
        <w:rPr>
          <w:rFonts w:ascii="Arial" w:eastAsia="Times New Roman" w:hAnsi="Arial" w:cs="Arial"/>
          <w:sz w:val="18"/>
          <w:szCs w:val="18"/>
          <w:lang w:val="es-ES" w:eastAsia="es-ES"/>
        </w:rPr>
        <w:t xml:space="preserve"> </w:t>
      </w:r>
      <w:r w:rsidR="004B55FF" w:rsidRPr="00B327EB">
        <w:rPr>
          <w:rFonts w:ascii="Arial" w:eastAsia="Times New Roman" w:hAnsi="Arial" w:cs="Arial"/>
          <w:sz w:val="18"/>
          <w:szCs w:val="18"/>
          <w:lang w:val="es-ES" w:eastAsia="es-ES"/>
        </w:rPr>
        <w:t xml:space="preserve">2.6 </w:t>
      </w:r>
      <w:r w:rsidRPr="00B327EB">
        <w:rPr>
          <w:rFonts w:ascii="Arial" w:eastAsia="Times New Roman" w:hAnsi="Arial" w:cs="Arial"/>
          <w:sz w:val="18"/>
          <w:szCs w:val="18"/>
          <w:lang w:val="es-ES" w:eastAsia="es-ES"/>
        </w:rPr>
        <w:t>del presente anexo.</w:t>
      </w:r>
    </w:p>
    <w:p w14:paraId="5A2296C6"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valorar aquellas posiciones nocionales asimiladas a bonos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se deberán seguir las siguientes indicaciones:</w:t>
      </w:r>
    </w:p>
    <w:p w14:paraId="1F853545"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BFF0A49" w14:textId="226EB947" w:rsidR="00DF2B76" w:rsidRPr="00B327EB" w:rsidRDefault="00AB2DEF" w:rsidP="00F84982">
      <w:pPr>
        <w:pStyle w:val="Prrafodelista"/>
        <w:numPr>
          <w:ilvl w:val="0"/>
          <w:numId w:val="8"/>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Cuando la posición se encuentre en moneda legal, se deberá utilizar la curva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para títulos TES tasa fija en pesos, suministrada por el proveedor de precios para valoración designado como oficial para el segmento correspondiente</w:t>
      </w:r>
    </w:p>
    <w:p w14:paraId="023A82FE" w14:textId="77777777" w:rsidR="00DF2B76" w:rsidRPr="00B327EB" w:rsidRDefault="00DF2B76" w:rsidP="00F84982">
      <w:pPr>
        <w:pStyle w:val="Prrafodelista"/>
        <w:spacing w:after="0" w:line="240" w:lineRule="auto"/>
        <w:ind w:left="567" w:hanging="283"/>
        <w:jc w:val="both"/>
        <w:rPr>
          <w:rFonts w:ascii="Arial" w:eastAsia="Times New Roman" w:hAnsi="Arial" w:cs="Arial"/>
          <w:sz w:val="18"/>
          <w:szCs w:val="18"/>
          <w:lang w:val="es-ES" w:eastAsia="es-ES"/>
        </w:rPr>
      </w:pPr>
    </w:p>
    <w:p w14:paraId="19BFF01D" w14:textId="77777777" w:rsidR="00DF2B76" w:rsidRPr="00B327EB" w:rsidRDefault="00AB2DEF" w:rsidP="00F84982">
      <w:pPr>
        <w:pStyle w:val="Prrafodelista"/>
        <w:numPr>
          <w:ilvl w:val="0"/>
          <w:numId w:val="8"/>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Cuando la posición se encuentre denominada en UVR se deberá utilizar la curva </w:t>
      </w:r>
      <w:proofErr w:type="gramStart"/>
      <w:r w:rsidRPr="00B327EB">
        <w:rPr>
          <w:rFonts w:ascii="Arial" w:eastAsia="Times New Roman" w:hAnsi="Arial" w:cs="Arial"/>
          <w:sz w:val="18"/>
          <w:szCs w:val="18"/>
          <w:lang w:val="es-ES" w:eastAsia="es-ES"/>
        </w:rPr>
        <w:t>cero cupón</w:t>
      </w:r>
      <w:proofErr w:type="gramEnd"/>
      <w:r w:rsidRPr="00B327EB">
        <w:rPr>
          <w:rFonts w:ascii="Arial" w:eastAsia="Times New Roman" w:hAnsi="Arial" w:cs="Arial"/>
          <w:sz w:val="18"/>
          <w:szCs w:val="18"/>
          <w:lang w:val="es-ES" w:eastAsia="es-ES"/>
        </w:rPr>
        <w:t xml:space="preserve"> para títulos TES en UVR, suministrada por el proveedor de precios para valoración designado como oficial para el segmento correspondiente; y </w:t>
      </w:r>
    </w:p>
    <w:p w14:paraId="736B57F5" w14:textId="77777777" w:rsidR="00DF2B76" w:rsidRPr="00B327EB" w:rsidRDefault="00DF2B76" w:rsidP="00F84982">
      <w:pPr>
        <w:pStyle w:val="Prrafodelista"/>
        <w:spacing w:after="0" w:line="240" w:lineRule="auto"/>
        <w:ind w:left="567" w:hanging="283"/>
        <w:rPr>
          <w:rFonts w:ascii="Arial" w:eastAsia="Times New Roman" w:hAnsi="Arial" w:cs="Arial"/>
          <w:sz w:val="18"/>
          <w:szCs w:val="18"/>
          <w:lang w:val="es-ES" w:eastAsia="es-ES"/>
        </w:rPr>
      </w:pPr>
    </w:p>
    <w:p w14:paraId="781A5786" w14:textId="77777777" w:rsidR="00AB2DEF" w:rsidRPr="00B327EB" w:rsidRDefault="00AB2DEF" w:rsidP="00F84982">
      <w:pPr>
        <w:pStyle w:val="Prrafodelista"/>
        <w:numPr>
          <w:ilvl w:val="0"/>
          <w:numId w:val="8"/>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 Para el caso de posiciones denominadas en moneda extranjera, la tasa de descuento aplicable es la tasa “</w:t>
      </w:r>
      <w:r w:rsidRPr="00B327EB">
        <w:rPr>
          <w:rFonts w:ascii="Arial" w:eastAsia="Times New Roman" w:hAnsi="Arial" w:cs="Arial"/>
          <w:i/>
          <w:sz w:val="18"/>
          <w:szCs w:val="18"/>
          <w:lang w:val="es-ES" w:eastAsia="es-ES"/>
        </w:rPr>
        <w:t xml:space="preserve">London Interbank </w:t>
      </w:r>
      <w:proofErr w:type="spellStart"/>
      <w:r w:rsidRPr="00B327EB">
        <w:rPr>
          <w:rFonts w:ascii="Arial" w:eastAsia="Times New Roman" w:hAnsi="Arial" w:cs="Arial"/>
          <w:i/>
          <w:sz w:val="18"/>
          <w:szCs w:val="18"/>
          <w:lang w:val="es-ES" w:eastAsia="es-ES"/>
        </w:rPr>
        <w:t>Offer</w:t>
      </w:r>
      <w:proofErr w:type="spellEnd"/>
      <w:r w:rsidRPr="00B327EB">
        <w:rPr>
          <w:rFonts w:ascii="Arial" w:eastAsia="Times New Roman" w:hAnsi="Arial" w:cs="Arial"/>
          <w:i/>
          <w:sz w:val="18"/>
          <w:szCs w:val="18"/>
          <w:lang w:val="es-ES" w:eastAsia="es-ES"/>
        </w:rPr>
        <w:t xml:space="preserve"> </w:t>
      </w:r>
      <w:proofErr w:type="spellStart"/>
      <w:r w:rsidRPr="00B327EB">
        <w:rPr>
          <w:rFonts w:ascii="Arial" w:eastAsia="Times New Roman" w:hAnsi="Arial" w:cs="Arial"/>
          <w:i/>
          <w:sz w:val="18"/>
          <w:szCs w:val="18"/>
          <w:lang w:val="es-ES" w:eastAsia="es-ES"/>
        </w:rPr>
        <w:t>Rate</w:t>
      </w:r>
      <w:proofErr w:type="spellEnd"/>
      <w:r w:rsidRPr="00B327EB">
        <w:rPr>
          <w:rFonts w:ascii="Arial" w:eastAsia="Times New Roman" w:hAnsi="Arial" w:cs="Arial"/>
          <w:sz w:val="18"/>
          <w:szCs w:val="18"/>
          <w:lang w:val="es-ES" w:eastAsia="es-ES"/>
        </w:rPr>
        <w:t>” (LIBOR).</w:t>
      </w:r>
    </w:p>
    <w:p w14:paraId="00A865B0" w14:textId="77777777" w:rsidR="00354640" w:rsidRPr="00B327EB" w:rsidRDefault="00354640" w:rsidP="00261664">
      <w:pPr>
        <w:spacing w:after="0" w:line="240" w:lineRule="auto"/>
        <w:ind w:left="284" w:hanging="284"/>
        <w:jc w:val="both"/>
        <w:rPr>
          <w:rFonts w:ascii="Arial" w:eastAsia="Times New Roman" w:hAnsi="Arial" w:cs="Arial"/>
          <w:sz w:val="18"/>
          <w:szCs w:val="18"/>
          <w:lang w:val="es-ES" w:eastAsia="es-ES"/>
        </w:rPr>
      </w:pPr>
    </w:p>
    <w:p w14:paraId="259CA3E5" w14:textId="50601558"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Notas estructuradas</w:t>
      </w:r>
      <w:r w:rsidR="00DF07B3" w:rsidRPr="00B327EB">
        <w:rPr>
          <w:rFonts w:ascii="Arial" w:eastAsia="Times New Roman" w:hAnsi="Arial" w:cs="Arial"/>
          <w:sz w:val="18"/>
          <w:szCs w:val="18"/>
          <w:lang w:val="es-ES" w:eastAsia="es-ES"/>
        </w:rPr>
        <w:t>.</w:t>
      </w:r>
    </w:p>
    <w:p w14:paraId="79500C80" w14:textId="77777777" w:rsidR="00354640" w:rsidRPr="00B327EB" w:rsidRDefault="00354640" w:rsidP="00261664">
      <w:pPr>
        <w:spacing w:after="0" w:line="240" w:lineRule="auto"/>
        <w:ind w:left="284" w:hanging="284"/>
        <w:jc w:val="both"/>
        <w:rPr>
          <w:rFonts w:ascii="Arial" w:eastAsia="Times New Roman" w:hAnsi="Arial" w:cs="Arial"/>
          <w:sz w:val="18"/>
          <w:szCs w:val="18"/>
          <w:lang w:val="es-ES" w:eastAsia="es-ES"/>
        </w:rPr>
      </w:pPr>
    </w:p>
    <w:p w14:paraId="0548578B"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riesgo de mercado de las notas estructuradas que puedan descomponerse en instrumentos de renta fija o variable e instrumentos derivados deberá calcularse para cada uno de sus componentes.</w:t>
      </w:r>
    </w:p>
    <w:p w14:paraId="0AA2EDF0"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435330AF" w14:textId="301FCE3E" w:rsidR="00AB2DEF" w:rsidRPr="00B327EB" w:rsidRDefault="00AB2DEF" w:rsidP="00982025">
      <w:pPr>
        <w:pBdr>
          <w:left w:val="single" w:sz="4" w:space="4" w:color="auto"/>
        </w:pBd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se trate de notas estructuradas que, de acuerdo con su valoración, puedan descomponerse, el riesgo de mercado deberá calcularse teniendo en cuenta: (i)  el módulo de tasa de interés, de acuerdo con las r</w:t>
      </w:r>
      <w:r w:rsidR="00903E18" w:rsidRPr="00B327EB">
        <w:rPr>
          <w:rFonts w:ascii="Arial" w:eastAsia="Times New Roman" w:hAnsi="Arial" w:cs="Arial"/>
          <w:sz w:val="18"/>
          <w:szCs w:val="18"/>
          <w:lang w:val="es-ES" w:eastAsia="es-ES"/>
        </w:rPr>
        <w:t xml:space="preserve">eglas contenidas en el </w:t>
      </w:r>
      <w:proofErr w:type="spellStart"/>
      <w:r w:rsidR="008A1F5F"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numeral</w:t>
      </w:r>
      <w:proofErr w:type="spellEnd"/>
      <w:r w:rsidR="00903E18" w:rsidRPr="00B327EB">
        <w:rPr>
          <w:rFonts w:ascii="Arial" w:eastAsia="Times New Roman" w:hAnsi="Arial" w:cs="Arial"/>
          <w:sz w:val="18"/>
          <w:szCs w:val="18"/>
          <w:lang w:val="es-ES" w:eastAsia="es-ES"/>
        </w:rPr>
        <w:t xml:space="preserve"> </w:t>
      </w:r>
      <w:r w:rsidR="004B55FF" w:rsidRPr="00B327EB">
        <w:rPr>
          <w:rFonts w:ascii="Arial" w:eastAsia="Times New Roman" w:hAnsi="Arial" w:cs="Arial"/>
          <w:sz w:val="18"/>
          <w:szCs w:val="18"/>
          <w:lang w:val="es-ES" w:eastAsia="es-ES"/>
        </w:rPr>
        <w:t>2.2</w:t>
      </w:r>
      <w:r w:rsidR="00A03074"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de este anexo, cuando se trate de instrumentos de renta fija; (</w:t>
      </w:r>
      <w:proofErr w:type="spellStart"/>
      <w:r w:rsidRPr="00B327EB">
        <w:rPr>
          <w:rFonts w:ascii="Arial" w:eastAsia="Times New Roman" w:hAnsi="Arial" w:cs="Arial"/>
          <w:sz w:val="18"/>
          <w:szCs w:val="18"/>
          <w:lang w:val="es-ES" w:eastAsia="es-ES"/>
        </w:rPr>
        <w:t>ii</w:t>
      </w:r>
      <w:proofErr w:type="spellEnd"/>
      <w:r w:rsidRPr="00B327EB">
        <w:rPr>
          <w:rFonts w:ascii="Arial" w:eastAsia="Times New Roman" w:hAnsi="Arial" w:cs="Arial"/>
          <w:sz w:val="18"/>
          <w:szCs w:val="18"/>
          <w:lang w:val="es-ES" w:eastAsia="es-ES"/>
        </w:rPr>
        <w:t>) el factor de riesgo de tasa de cambio, de acuerdo con las r</w:t>
      </w:r>
      <w:r w:rsidR="00903E18" w:rsidRPr="00B327EB">
        <w:rPr>
          <w:rFonts w:ascii="Arial" w:eastAsia="Times New Roman" w:hAnsi="Arial" w:cs="Arial"/>
          <w:sz w:val="18"/>
          <w:szCs w:val="18"/>
          <w:lang w:val="es-ES" w:eastAsia="es-ES"/>
        </w:rPr>
        <w:t xml:space="preserve">eglas contenidas en el </w:t>
      </w:r>
      <w:proofErr w:type="spellStart"/>
      <w:r w:rsidR="00421395"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numeral</w:t>
      </w:r>
      <w:proofErr w:type="spellEnd"/>
      <w:r w:rsidR="00903E18" w:rsidRPr="00B327EB">
        <w:rPr>
          <w:rFonts w:ascii="Arial" w:eastAsia="Times New Roman" w:hAnsi="Arial" w:cs="Arial"/>
          <w:sz w:val="18"/>
          <w:szCs w:val="18"/>
          <w:lang w:val="es-ES" w:eastAsia="es-ES"/>
        </w:rPr>
        <w:t xml:space="preserve"> </w:t>
      </w:r>
      <w:r w:rsidR="004B55FF" w:rsidRPr="00B327EB">
        <w:rPr>
          <w:rFonts w:ascii="Arial" w:eastAsia="Times New Roman" w:hAnsi="Arial" w:cs="Arial"/>
          <w:sz w:val="18"/>
          <w:szCs w:val="18"/>
          <w:lang w:val="es-ES" w:eastAsia="es-ES"/>
        </w:rPr>
        <w:t>2.3</w:t>
      </w:r>
      <w:r w:rsidRPr="00B327EB">
        <w:rPr>
          <w:rFonts w:ascii="Arial" w:eastAsia="Times New Roman" w:hAnsi="Arial" w:cs="Arial"/>
          <w:sz w:val="18"/>
          <w:szCs w:val="18"/>
          <w:lang w:val="es-ES" w:eastAsia="es-ES"/>
        </w:rPr>
        <w:t xml:space="preserve"> del presente anexo,; (</w:t>
      </w:r>
      <w:proofErr w:type="spellStart"/>
      <w:r w:rsidRPr="00B327EB">
        <w:rPr>
          <w:rFonts w:ascii="Arial" w:eastAsia="Times New Roman" w:hAnsi="Arial" w:cs="Arial"/>
          <w:sz w:val="18"/>
          <w:szCs w:val="18"/>
          <w:lang w:val="es-ES" w:eastAsia="es-ES"/>
        </w:rPr>
        <w:t>iii</w:t>
      </w:r>
      <w:proofErr w:type="spellEnd"/>
      <w:r w:rsidRPr="00B327EB">
        <w:rPr>
          <w:rFonts w:ascii="Arial" w:eastAsia="Times New Roman" w:hAnsi="Arial" w:cs="Arial"/>
          <w:sz w:val="18"/>
          <w:szCs w:val="18"/>
          <w:lang w:val="es-ES" w:eastAsia="es-ES"/>
        </w:rPr>
        <w:t>) el</w:t>
      </w:r>
      <w:r w:rsidRPr="00B327EB" w:rsidDel="00D60341">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factor de riesgo de precio de acciones o índice accionario, de acuerdo con las r</w:t>
      </w:r>
      <w:r w:rsidR="00903E18" w:rsidRPr="00B327EB">
        <w:rPr>
          <w:rFonts w:ascii="Arial" w:eastAsia="Times New Roman" w:hAnsi="Arial" w:cs="Arial"/>
          <w:sz w:val="18"/>
          <w:szCs w:val="18"/>
          <w:lang w:val="es-ES" w:eastAsia="es-ES"/>
        </w:rPr>
        <w:t xml:space="preserve">eglas contenidas en el </w:t>
      </w:r>
      <w:proofErr w:type="spellStart"/>
      <w:r w:rsidR="002622D3"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numeral</w:t>
      </w:r>
      <w:proofErr w:type="spellEnd"/>
      <w:r w:rsidR="00903E18" w:rsidRPr="00B327EB">
        <w:rPr>
          <w:rFonts w:ascii="Arial" w:eastAsia="Times New Roman" w:hAnsi="Arial" w:cs="Arial"/>
          <w:sz w:val="18"/>
          <w:szCs w:val="18"/>
          <w:lang w:val="es-ES" w:eastAsia="es-ES"/>
        </w:rPr>
        <w:t xml:space="preserve"> </w:t>
      </w:r>
      <w:r w:rsidR="004B55FF" w:rsidRPr="00B327EB">
        <w:rPr>
          <w:rFonts w:ascii="Arial" w:eastAsia="Times New Roman" w:hAnsi="Arial" w:cs="Arial"/>
          <w:sz w:val="18"/>
          <w:szCs w:val="18"/>
          <w:lang w:val="es-ES" w:eastAsia="es-ES"/>
        </w:rPr>
        <w:t>2.4</w:t>
      </w:r>
      <w:r w:rsidRPr="00B327EB">
        <w:rPr>
          <w:rFonts w:ascii="Arial" w:eastAsia="Times New Roman" w:hAnsi="Arial" w:cs="Arial"/>
          <w:sz w:val="18"/>
          <w:szCs w:val="18"/>
          <w:lang w:val="es-ES" w:eastAsia="es-ES"/>
        </w:rPr>
        <w:t xml:space="preserve"> del presente anexo, para el caso de instrumentos de renta variable</w:t>
      </w:r>
      <w:r w:rsidR="00D60341" w:rsidRPr="00B327EB">
        <w:rPr>
          <w:rFonts w:ascii="Arial" w:eastAsia="Times New Roman" w:hAnsi="Arial" w:cs="Arial"/>
          <w:sz w:val="18"/>
          <w:szCs w:val="18"/>
          <w:lang w:val="es-ES" w:eastAsia="es-ES"/>
        </w:rPr>
        <w:t xml:space="preserve">; </w:t>
      </w:r>
      <w:r w:rsidR="003B73C0" w:rsidRPr="00B327EB">
        <w:rPr>
          <w:rFonts w:ascii="Arial" w:eastAsia="Times New Roman" w:hAnsi="Arial" w:cs="Arial"/>
          <w:sz w:val="18"/>
          <w:szCs w:val="18"/>
          <w:lang w:val="es-ES" w:eastAsia="es-ES"/>
        </w:rPr>
        <w:t>y (</w:t>
      </w:r>
      <w:proofErr w:type="spellStart"/>
      <w:r w:rsidR="003B73C0" w:rsidRPr="00B327EB">
        <w:rPr>
          <w:rFonts w:ascii="Arial" w:eastAsia="Times New Roman" w:hAnsi="Arial" w:cs="Arial"/>
          <w:sz w:val="18"/>
          <w:szCs w:val="18"/>
          <w:lang w:val="es-ES" w:eastAsia="es-ES"/>
        </w:rPr>
        <w:t>iv</w:t>
      </w:r>
      <w:proofErr w:type="spellEnd"/>
      <w:r w:rsidR="003B73C0" w:rsidRPr="00B327EB">
        <w:rPr>
          <w:rFonts w:ascii="Arial" w:eastAsia="Times New Roman" w:hAnsi="Arial" w:cs="Arial"/>
          <w:sz w:val="18"/>
          <w:szCs w:val="18"/>
          <w:lang w:val="es-ES" w:eastAsia="es-ES"/>
        </w:rPr>
        <w:t xml:space="preserve">) el factor de riesgo de operaciones de </w:t>
      </w:r>
      <w:r w:rsidR="00FD7F79" w:rsidRPr="00FD7F79">
        <w:rPr>
          <w:rFonts w:ascii="Arial" w:eastAsia="Times New Roman" w:hAnsi="Arial" w:cs="Arial"/>
          <w:b/>
          <w:bCs/>
          <w:sz w:val="18"/>
          <w:szCs w:val="18"/>
          <w:lang w:val="es-ES" w:eastAsia="es-ES"/>
        </w:rPr>
        <w:t>derivados de crédito</w:t>
      </w:r>
      <w:r w:rsidR="003B73C0" w:rsidRPr="00B327EB">
        <w:rPr>
          <w:rFonts w:ascii="Arial" w:eastAsia="Times New Roman" w:hAnsi="Arial" w:cs="Arial"/>
          <w:sz w:val="18"/>
          <w:szCs w:val="18"/>
          <w:lang w:val="es-ES" w:eastAsia="es-ES"/>
        </w:rPr>
        <w:t xml:space="preserve">, de acuerdo con las reglas contenidas en el </w:t>
      </w:r>
      <w:proofErr w:type="spellStart"/>
      <w:r w:rsidR="00421395" w:rsidRPr="00B327EB">
        <w:rPr>
          <w:rFonts w:ascii="Arial" w:eastAsia="Times New Roman" w:hAnsi="Arial" w:cs="Arial"/>
          <w:sz w:val="18"/>
          <w:szCs w:val="18"/>
          <w:lang w:val="es-ES" w:eastAsia="es-ES"/>
        </w:rPr>
        <w:t>sub</w:t>
      </w:r>
      <w:r w:rsidR="003B73C0" w:rsidRPr="00B327EB">
        <w:rPr>
          <w:rFonts w:ascii="Arial" w:eastAsia="Times New Roman" w:hAnsi="Arial" w:cs="Arial"/>
          <w:sz w:val="18"/>
          <w:szCs w:val="18"/>
          <w:lang w:val="es-ES" w:eastAsia="es-ES"/>
        </w:rPr>
        <w:t>numeral</w:t>
      </w:r>
      <w:proofErr w:type="spellEnd"/>
      <w:r w:rsidR="003B73C0" w:rsidRPr="00B327EB">
        <w:rPr>
          <w:rFonts w:ascii="Arial" w:eastAsia="Times New Roman" w:hAnsi="Arial" w:cs="Arial"/>
          <w:sz w:val="18"/>
          <w:szCs w:val="18"/>
          <w:lang w:val="es-ES" w:eastAsia="es-ES"/>
        </w:rPr>
        <w:t xml:space="preserve"> </w:t>
      </w:r>
      <w:r w:rsidR="00D15DCF" w:rsidRPr="00B327EB">
        <w:rPr>
          <w:rFonts w:ascii="Arial" w:eastAsia="Times New Roman" w:hAnsi="Arial" w:cs="Arial"/>
          <w:sz w:val="18"/>
          <w:szCs w:val="18"/>
          <w:lang w:val="es-ES" w:eastAsia="es-ES"/>
        </w:rPr>
        <w:t>2.</w:t>
      </w:r>
      <w:r w:rsidR="003B73C0" w:rsidRPr="00B327EB">
        <w:rPr>
          <w:rFonts w:ascii="Arial" w:eastAsia="Times New Roman" w:hAnsi="Arial" w:cs="Arial"/>
          <w:sz w:val="18"/>
          <w:szCs w:val="18"/>
          <w:lang w:val="es-ES" w:eastAsia="es-ES"/>
        </w:rPr>
        <w:t>7 del presente</w:t>
      </w:r>
      <w:r w:rsidR="002C27B2" w:rsidRPr="00B327EB">
        <w:rPr>
          <w:rFonts w:ascii="Arial" w:eastAsia="Times New Roman" w:hAnsi="Arial" w:cs="Arial"/>
          <w:sz w:val="18"/>
          <w:szCs w:val="18"/>
          <w:lang w:val="es-ES" w:eastAsia="es-ES"/>
        </w:rPr>
        <w:t xml:space="preserve"> Anexo</w:t>
      </w:r>
      <w:r w:rsidR="00D15DCF" w:rsidRPr="00B327EB">
        <w:rPr>
          <w:rFonts w:ascii="Arial" w:eastAsia="Times New Roman" w:hAnsi="Arial" w:cs="Arial"/>
          <w:sz w:val="18"/>
          <w:szCs w:val="18"/>
          <w:lang w:val="es-ES" w:eastAsia="es-ES"/>
        </w:rPr>
        <w:t>.</w:t>
      </w:r>
    </w:p>
    <w:p w14:paraId="1ADF5934"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697F8476" w14:textId="0DA77442"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Cuando se trate de notas estructuradas que, de acuerdo con su valoración, no puedan descomponerse y se asemejen en su comportamiento y estructura a una opción, el riesgo de mercado deberá calcularse de acuerdo con las reglas contenidas en el numeral </w:t>
      </w:r>
      <w:r w:rsidR="004B55FF" w:rsidRPr="00B327EB">
        <w:rPr>
          <w:rFonts w:ascii="Arial" w:eastAsia="Times New Roman" w:hAnsi="Arial" w:cs="Arial"/>
          <w:sz w:val="18"/>
          <w:szCs w:val="18"/>
          <w:lang w:val="es-ES" w:eastAsia="es-ES"/>
        </w:rPr>
        <w:t xml:space="preserve">2.6 </w:t>
      </w:r>
      <w:r w:rsidRPr="00B327EB">
        <w:rPr>
          <w:rFonts w:ascii="Arial" w:eastAsia="Times New Roman" w:hAnsi="Arial" w:cs="Arial"/>
          <w:sz w:val="18"/>
          <w:szCs w:val="18"/>
          <w:lang w:val="es-ES" w:eastAsia="es-ES"/>
        </w:rPr>
        <w:t>del presente anexo.</w:t>
      </w:r>
    </w:p>
    <w:p w14:paraId="632719BD"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5C09895E" w14:textId="22705F77" w:rsidR="00AB2DEF" w:rsidRPr="00B327EB" w:rsidRDefault="00AB2DEF" w:rsidP="003A51B5">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Inversiones clasificadas hasta el vencimiento entregadas como garantías</w:t>
      </w:r>
      <w:r w:rsidR="00DF07B3" w:rsidRPr="00B327EB">
        <w:rPr>
          <w:rFonts w:ascii="Arial" w:eastAsia="Times New Roman" w:hAnsi="Arial" w:cs="Arial"/>
          <w:sz w:val="18"/>
          <w:szCs w:val="18"/>
          <w:lang w:val="es-ES" w:eastAsia="es-ES"/>
        </w:rPr>
        <w:t>.</w:t>
      </w:r>
    </w:p>
    <w:p w14:paraId="0A7F68E3"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4E7C791"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p>
    <w:p w14:paraId="5340AE18"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0BEC3390" w14:textId="77777777" w:rsidR="001C58BD" w:rsidRDefault="00AB2DEF" w:rsidP="00261664">
      <w:pPr>
        <w:spacing w:after="0" w:line="240" w:lineRule="auto"/>
        <w:ind w:left="284"/>
        <w:jc w:val="both"/>
        <w:rPr>
          <w:rFonts w:ascii="Arial" w:eastAsia="Times New Roman" w:hAnsi="Arial" w:cs="Arial"/>
          <w:sz w:val="18"/>
          <w:szCs w:val="18"/>
          <w:lang w:val="es-ES" w:eastAsia="es-ES"/>
        </w:rPr>
        <w:sectPr w:rsidR="001C58BD" w:rsidSect="00982025">
          <w:headerReference w:type="even" r:id="rId11"/>
          <w:headerReference w:type="default" r:id="rId12"/>
          <w:footerReference w:type="even" r:id="rId13"/>
          <w:footerReference w:type="default" r:id="rId14"/>
          <w:headerReference w:type="first" r:id="rId15"/>
          <w:footerReference w:type="first" r:id="rId16"/>
          <w:pgSz w:w="12242" w:h="18722" w:code="14"/>
          <w:pgMar w:top="1418" w:right="1701" w:bottom="1418" w:left="1701" w:header="1134" w:footer="1134" w:gutter="0"/>
          <w:cols w:space="708"/>
          <w:docGrid w:linePitch="360"/>
        </w:sectPr>
      </w:pPr>
      <w:r w:rsidRPr="00B327EB">
        <w:rPr>
          <w:rFonts w:ascii="Arial" w:eastAsia="Times New Roman" w:hAnsi="Arial" w:cs="Arial"/>
          <w:sz w:val="18"/>
          <w:szCs w:val="18"/>
          <w:lang w:val="es-ES" w:eastAsia="es-ES"/>
        </w:rPr>
        <w:t>Así mismo, en el evento en que estas inversiones estén expresadas en moneda diferente a moneda legal, deberán tenerse en cuenta adicionalmente en el cálculo de la exposición al riesgo de tasa de cambio.</w:t>
      </w:r>
    </w:p>
    <w:p w14:paraId="7ADFFF82"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p>
    <w:p w14:paraId="5149277E"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7E5A058D"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2.1.2 Operaciones de reporto o repo, operaciones simultáneas y operaciones de transferencia temporal de valores</w:t>
      </w:r>
    </w:p>
    <w:p w14:paraId="17FB6E78"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E93DEA4"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Las operaciones a que hace referencia el presente </w:t>
      </w:r>
      <w:proofErr w:type="spellStart"/>
      <w:r w:rsidRPr="00B327EB">
        <w:rPr>
          <w:rFonts w:ascii="Arial" w:eastAsia="Times New Roman" w:hAnsi="Arial" w:cs="Arial"/>
          <w:sz w:val="18"/>
          <w:szCs w:val="18"/>
          <w:lang w:val="es-ES" w:eastAsia="es-ES"/>
        </w:rPr>
        <w:t>subnumeral</w:t>
      </w:r>
      <w:proofErr w:type="spellEnd"/>
      <w:r w:rsidRPr="00B327EB">
        <w:rPr>
          <w:rFonts w:ascii="Arial" w:eastAsia="Times New Roman" w:hAnsi="Arial" w:cs="Arial"/>
          <w:sz w:val="18"/>
          <w:szCs w:val="18"/>
          <w:lang w:val="es-ES" w:eastAsia="es-ES"/>
        </w:rPr>
        <w:t xml:space="preserve"> generan un intercambio de valores y de dinero entre las partes, con el compromiso de reversarlo al final de la operación.</w:t>
      </w:r>
    </w:p>
    <w:p w14:paraId="0C52583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1CE2BDB" w14:textId="77777777" w:rsidR="001C58BD" w:rsidRDefault="00AB2DEF" w:rsidP="00354640">
      <w:pPr>
        <w:spacing w:after="0" w:line="240" w:lineRule="auto"/>
        <w:jc w:val="both"/>
        <w:rPr>
          <w:rFonts w:ascii="Arial" w:eastAsia="Times New Roman" w:hAnsi="Arial" w:cs="Arial"/>
          <w:sz w:val="18"/>
          <w:szCs w:val="18"/>
          <w:lang w:val="es-ES" w:eastAsia="es-ES"/>
        </w:rPr>
        <w:sectPr w:rsidR="001C58BD" w:rsidSect="00982025">
          <w:headerReference w:type="default" r:id="rId17"/>
          <w:pgSz w:w="12242" w:h="18722" w:code="14"/>
          <w:pgMar w:top="1418" w:right="1701" w:bottom="1418" w:left="1701" w:header="1134" w:footer="1134" w:gutter="0"/>
          <w:cols w:space="708"/>
          <w:docGrid w:linePitch="360"/>
        </w:sectPr>
      </w:pPr>
      <w:r w:rsidRPr="00B327EB">
        <w:rPr>
          <w:rFonts w:ascii="Arial" w:eastAsia="Times New Roman" w:hAnsi="Arial" w:cs="Arial"/>
          <w:sz w:val="18"/>
          <w:szCs w:val="18"/>
          <w:lang w:val="es-ES" w:eastAsia="es-ES"/>
        </w:rPr>
        <w:t>En las operaciones de reporto o repo (repo) y simultáneas, el “Enajenante” le entrega valores al “Adquirente”, y al hacerlo le transfiere la propiedad de éstos. A cambio, el “Adquirente” le entrega dinero al “Enajenante”. De manera análoga, en las operaciones de transferencia temporal de valores el “Originador” le entrega valores al “Receptor” y, al hacerlo, le transfiere la propiedad de éstos. A cambio, el “Receptor” le entrega dinero o valores al “Originador”, en cuyo caso también se transfiere la propiedad.</w:t>
      </w:r>
    </w:p>
    <w:p w14:paraId="67B57369" w14:textId="1744B486" w:rsidR="00AB2DEF" w:rsidRPr="00B327EB" w:rsidRDefault="00AB2DEF" w:rsidP="00354640">
      <w:pPr>
        <w:spacing w:after="0" w:line="240" w:lineRule="auto"/>
        <w:jc w:val="both"/>
        <w:rPr>
          <w:rFonts w:ascii="Arial" w:eastAsia="Times New Roman" w:hAnsi="Arial" w:cs="Arial"/>
          <w:sz w:val="18"/>
          <w:szCs w:val="18"/>
          <w:lang w:val="es-ES" w:eastAsia="es-ES"/>
        </w:rPr>
      </w:pPr>
    </w:p>
    <w:p w14:paraId="045A06DC" w14:textId="74F6C893" w:rsidR="00AB2DEF" w:rsidRPr="00B327EB" w:rsidRDefault="00AB2DEF" w:rsidP="007A2338">
      <w:pPr>
        <w:spacing w:after="0" w:line="240" w:lineRule="auto"/>
        <w:ind w:left="284"/>
        <w:jc w:val="both"/>
        <w:rPr>
          <w:rFonts w:ascii="Arial" w:eastAsia="Times New Roman" w:hAnsi="Arial" w:cs="Arial"/>
          <w:b/>
          <w:snapToGrid w:val="0"/>
          <w:sz w:val="18"/>
          <w:szCs w:val="18"/>
          <w:lang w:val="es-MX" w:eastAsia="es-ES"/>
        </w:rPr>
      </w:pPr>
      <w:r w:rsidRPr="00B327EB">
        <w:rPr>
          <w:rFonts w:ascii="Arial" w:eastAsia="Times New Roman" w:hAnsi="Arial" w:cs="Arial"/>
          <w:snapToGrid w:val="0"/>
          <w:sz w:val="18"/>
          <w:szCs w:val="18"/>
          <w:lang w:val="es-MX" w:eastAsia="es-ES"/>
        </w:rPr>
        <w:t xml:space="preserve">estipulado en </w:t>
      </w:r>
      <w:r w:rsidR="00704750" w:rsidRPr="00B327EB">
        <w:rPr>
          <w:rFonts w:ascii="Arial" w:eastAsia="Times New Roman" w:hAnsi="Arial" w:cs="Arial"/>
          <w:snapToGrid w:val="0"/>
          <w:sz w:val="18"/>
          <w:szCs w:val="18"/>
          <w:lang w:val="es-MX" w:eastAsia="es-ES"/>
        </w:rPr>
        <w:t xml:space="preserve">el </w:t>
      </w:r>
      <w:proofErr w:type="spellStart"/>
      <w:r w:rsidR="00704750" w:rsidRPr="00B327EB">
        <w:rPr>
          <w:rFonts w:ascii="Arial" w:eastAsia="Times New Roman" w:hAnsi="Arial" w:cs="Arial"/>
          <w:snapToGrid w:val="0"/>
          <w:sz w:val="18"/>
          <w:szCs w:val="18"/>
          <w:lang w:val="es-MX" w:eastAsia="es-ES"/>
        </w:rPr>
        <w:t>subnumeral</w:t>
      </w:r>
      <w:proofErr w:type="spellEnd"/>
      <w:r w:rsidR="00704750" w:rsidRPr="00B327EB">
        <w:rPr>
          <w:rFonts w:ascii="Arial" w:eastAsia="Times New Roman" w:hAnsi="Arial" w:cs="Arial"/>
          <w:snapToGrid w:val="0"/>
          <w:sz w:val="18"/>
          <w:szCs w:val="18"/>
          <w:lang w:val="es-MX" w:eastAsia="es-ES"/>
        </w:rPr>
        <w:t xml:space="preserve"> </w:t>
      </w:r>
      <w:r w:rsidR="00CE2B9B" w:rsidRPr="00B327EB">
        <w:rPr>
          <w:rFonts w:ascii="Arial" w:eastAsia="Times New Roman" w:hAnsi="Arial" w:cs="Arial"/>
          <w:snapToGrid w:val="0"/>
          <w:sz w:val="18"/>
          <w:szCs w:val="18"/>
          <w:lang w:val="es-MX" w:eastAsia="es-ES"/>
        </w:rPr>
        <w:t>2.4</w:t>
      </w:r>
      <w:r w:rsidR="00704750" w:rsidRPr="00B327EB">
        <w:rPr>
          <w:rFonts w:ascii="Arial" w:eastAsia="Times New Roman" w:hAnsi="Arial" w:cs="Arial"/>
          <w:snapToGrid w:val="0"/>
          <w:sz w:val="18"/>
          <w:szCs w:val="18"/>
          <w:lang w:val="es-MX" w:eastAsia="es-ES"/>
        </w:rPr>
        <w:t xml:space="preserve"> del presente anexo</w:t>
      </w:r>
      <w:r w:rsidRPr="00B327EB">
        <w:rPr>
          <w:rFonts w:ascii="Arial" w:eastAsia="Times New Roman" w:hAnsi="Arial" w:cs="Arial"/>
          <w:snapToGrid w:val="0"/>
          <w:sz w:val="18"/>
          <w:szCs w:val="18"/>
          <w:lang w:val="es-MX" w:eastAsia="es-ES"/>
        </w:rPr>
        <w:t>. Para las posiciones en moneda extranjera o divisas, el cambio en el valor del subyacente es el estipulado en la Tabla 2 según corresponda</w:t>
      </w:r>
      <w:r w:rsidRPr="00B327EB">
        <w:rPr>
          <w:rFonts w:ascii="Arial" w:eastAsia="Times New Roman" w:hAnsi="Arial" w:cs="Arial"/>
          <w:b/>
          <w:snapToGrid w:val="0"/>
          <w:sz w:val="18"/>
          <w:szCs w:val="18"/>
          <w:lang w:val="es-MX" w:eastAsia="es-ES"/>
        </w:rPr>
        <w:t>.</w:t>
      </w:r>
    </w:p>
    <w:p w14:paraId="74D73764"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1C79F802" w14:textId="44B1D222" w:rsidR="00AB2DEF" w:rsidRPr="00B327EB" w:rsidRDefault="00AB2DEF" w:rsidP="007A2338">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Posteriormente, las posiciones en opciones se agruparán según el instrumento subyacente, como se explica a continuación:</w:t>
      </w:r>
    </w:p>
    <w:p w14:paraId="0E2C12F6"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4BE01D9D" w14:textId="0C41EDE1" w:rsidR="00DF2B76" w:rsidRPr="00B327EB" w:rsidRDefault="00AB2DEF" w:rsidP="00E6245C">
      <w:pPr>
        <w:pStyle w:val="Prrafodelista"/>
        <w:numPr>
          <w:ilvl w:val="0"/>
          <w:numId w:val="19"/>
        </w:numPr>
        <w:spacing w:after="0" w:line="240" w:lineRule="auto"/>
        <w:ind w:left="567" w:hanging="283"/>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Por banda en las escaleras de duración modificada en el caso de opciones con subyacentes expuestos a riesgo de tasa de interés.</w:t>
      </w:r>
    </w:p>
    <w:p w14:paraId="6FDCFD5A" w14:textId="77777777" w:rsidR="00DF2B76" w:rsidRPr="00B327EB" w:rsidRDefault="00AB2DEF" w:rsidP="00E6245C">
      <w:pPr>
        <w:pStyle w:val="Prrafodelista"/>
        <w:numPr>
          <w:ilvl w:val="0"/>
          <w:numId w:val="19"/>
        </w:numPr>
        <w:spacing w:after="0" w:line="240" w:lineRule="auto"/>
        <w:ind w:left="567" w:hanging="283"/>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Por mercado nacional en el caso de opciones con subyacentes expuestos a riesgo de cambios en el precio de acciones.</w:t>
      </w:r>
    </w:p>
    <w:p w14:paraId="0BF0666D" w14:textId="77777777" w:rsidR="00AB2DEF" w:rsidRPr="00B327EB" w:rsidRDefault="00BA5377" w:rsidP="00E6245C">
      <w:pPr>
        <w:pStyle w:val="Prrafodelista"/>
        <w:numPr>
          <w:ilvl w:val="0"/>
          <w:numId w:val="19"/>
        </w:numPr>
        <w:spacing w:after="0" w:line="240" w:lineRule="auto"/>
        <w:ind w:left="567" w:hanging="283"/>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 </w:t>
      </w:r>
      <w:r w:rsidR="00AB2DEF" w:rsidRPr="00B327EB">
        <w:rPr>
          <w:rFonts w:ascii="Arial" w:eastAsia="Times New Roman" w:hAnsi="Arial" w:cs="Arial"/>
          <w:snapToGrid w:val="0"/>
          <w:sz w:val="18"/>
          <w:szCs w:val="18"/>
          <w:lang w:val="es-MX" w:eastAsia="es-ES"/>
        </w:rPr>
        <w:t>Por moneda en el caso de opciones con subyacentes expuestos a riesgo de tasa de cambio.</w:t>
      </w:r>
    </w:p>
    <w:p w14:paraId="20961979"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395C0170" w14:textId="77777777" w:rsidR="00AB2DEF" w:rsidRPr="00B327EB" w:rsidRDefault="00AB2DEF" w:rsidP="00E6245C">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Para cada grupo se calcula un impacto gamma neto, como la suma de los impactos gamma de todas las posiciones en la agrupación. Para el cálculo de los requerimientos de capital solamente se tienen en cuenta, en valor absoluto, los impactos gamma netos negativos.</w:t>
      </w:r>
    </w:p>
    <w:p w14:paraId="19AFEE4C" w14:textId="77777777" w:rsidR="00AB2DEF" w:rsidRPr="00B327EB" w:rsidRDefault="00AB2DEF" w:rsidP="006C25A4">
      <w:pPr>
        <w:spacing w:after="0" w:line="240" w:lineRule="auto"/>
        <w:ind w:left="284" w:hanging="284"/>
        <w:jc w:val="both"/>
        <w:rPr>
          <w:rFonts w:ascii="Arial" w:eastAsia="Times New Roman" w:hAnsi="Arial" w:cs="Arial"/>
          <w:b/>
          <w:snapToGrid w:val="0"/>
          <w:sz w:val="18"/>
          <w:szCs w:val="18"/>
          <w:lang w:val="es-MX" w:eastAsia="es-ES"/>
        </w:rPr>
      </w:pPr>
    </w:p>
    <w:p w14:paraId="0D558D77" w14:textId="699D1B0E"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c.</w:t>
      </w:r>
      <w:r w:rsidR="00E6245C" w:rsidRPr="00B327EB">
        <w:rPr>
          <w:rFonts w:ascii="Arial" w:eastAsia="Times New Roman" w:hAnsi="Arial" w:cs="Arial"/>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 Riesgo Vega</w:t>
      </w:r>
      <w:r w:rsidR="009959B0" w:rsidRPr="00B327EB">
        <w:rPr>
          <w:rFonts w:ascii="Arial" w:eastAsia="Times New Roman" w:hAnsi="Arial" w:cs="Arial"/>
          <w:snapToGrid w:val="0"/>
          <w:sz w:val="18"/>
          <w:szCs w:val="18"/>
          <w:lang w:val="es-MX" w:eastAsia="es-ES"/>
        </w:rPr>
        <w:t>.</w:t>
      </w:r>
    </w:p>
    <w:p w14:paraId="2620B605" w14:textId="77777777" w:rsidR="00AB2DEF" w:rsidRPr="00B327EB" w:rsidRDefault="00AB2DEF" w:rsidP="006C25A4">
      <w:pPr>
        <w:spacing w:after="0" w:line="240" w:lineRule="auto"/>
        <w:ind w:left="284" w:hanging="284"/>
        <w:jc w:val="both"/>
        <w:rPr>
          <w:rFonts w:ascii="Arial" w:eastAsia="Times New Roman" w:hAnsi="Arial" w:cs="Arial"/>
          <w:b/>
          <w:snapToGrid w:val="0"/>
          <w:sz w:val="18"/>
          <w:szCs w:val="18"/>
          <w:lang w:val="es-MX" w:eastAsia="es-ES"/>
        </w:rPr>
      </w:pPr>
    </w:p>
    <w:p w14:paraId="4FF3A29A" w14:textId="77777777" w:rsidR="00AB2DEF" w:rsidRPr="00B327EB" w:rsidRDefault="00AB2DEF" w:rsidP="008367C3">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riesgo vega refleja la sensibilidad del valor de las posiciones en opciones con respecto a cambios en la volatilidad del valor del instrumento subyacente. El cargo de capital correspondiente a este tipo de riesgo es calculado como la suma de los impactos vega de cada opción.</w:t>
      </w:r>
    </w:p>
    <w:p w14:paraId="50B1BE0B"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4DD48C81" w14:textId="77777777" w:rsidR="00AB2DEF" w:rsidRPr="00B327EB" w:rsidRDefault="00AB2DEF" w:rsidP="008367C3">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Estos impactos se calculan aplicando a la volatilidad del valor subyacente asociado un cambio de 25% positivo o negativo según sea la posición (corta o larga), sobre el factor vega correspondiente.</w:t>
      </w:r>
    </w:p>
    <w:p w14:paraId="6E1F08E7"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37A5702B" w14:textId="77777777" w:rsidR="00AB2DEF" w:rsidRPr="00B327EB" w:rsidRDefault="00AB2DEF" w:rsidP="008367C3">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factor vega correspondiente mide el cambio del valor de la opción ante un cambio unitario en la volatilidad del valor del instrumento subyacente.</w:t>
      </w:r>
    </w:p>
    <w:p w14:paraId="60CCEAF9"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7ADD6D5B" w14:textId="590FDC23" w:rsidR="00CC3E2A" w:rsidRPr="00B327EB" w:rsidRDefault="00AB2DEF" w:rsidP="0035528C">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Para el cálculo de los factores de sensibilidad delta, gamma y vega, así como de las volatilidades de los subyacentes que se utilicen en el cálculo del riesgo vega, las instituciones financieras deben aplicar metodologías concordantes con los</w:t>
      </w:r>
      <w:r w:rsidRPr="00B327EB">
        <w:rPr>
          <w:rFonts w:ascii="Arial" w:eastAsia="Times New Roman" w:hAnsi="Arial" w:cs="Arial"/>
          <w:b/>
          <w:snapToGrid w:val="0"/>
          <w:sz w:val="18"/>
          <w:szCs w:val="18"/>
          <w:lang w:val="es-MX" w:eastAsia="es-ES"/>
        </w:rPr>
        <w:t xml:space="preserve"> </w:t>
      </w:r>
      <w:r w:rsidRPr="00B327EB">
        <w:rPr>
          <w:rFonts w:ascii="Arial" w:eastAsia="Times New Roman" w:hAnsi="Arial" w:cs="Arial"/>
          <w:snapToGrid w:val="0"/>
          <w:sz w:val="18"/>
          <w:szCs w:val="18"/>
          <w:lang w:val="es-MX" w:eastAsia="es-ES"/>
        </w:rPr>
        <w:t>modelos para</w:t>
      </w:r>
      <w:r w:rsidRPr="00B327EB">
        <w:rPr>
          <w:rFonts w:ascii="Arial" w:eastAsia="Times New Roman" w:hAnsi="Arial" w:cs="Arial"/>
          <w:b/>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la valoración de dichos instrumentos, </w:t>
      </w:r>
      <w:r w:rsidR="001D1231" w:rsidRPr="00B327EB">
        <w:rPr>
          <w:rFonts w:ascii="Arial" w:eastAsia="Times New Roman" w:hAnsi="Arial" w:cs="Arial"/>
          <w:snapToGrid w:val="0"/>
          <w:sz w:val="18"/>
          <w:szCs w:val="18"/>
          <w:lang w:val="es-MX" w:eastAsia="es-ES"/>
        </w:rPr>
        <w:t>de acuerdo con</w:t>
      </w:r>
      <w:r w:rsidRPr="00B327EB">
        <w:rPr>
          <w:rFonts w:ascii="Arial" w:eastAsia="Times New Roman" w:hAnsi="Arial" w:cs="Arial"/>
          <w:snapToGrid w:val="0"/>
          <w:sz w:val="18"/>
          <w:szCs w:val="18"/>
          <w:lang w:val="es-MX" w:eastAsia="es-ES"/>
        </w:rPr>
        <w:t xml:space="preserve"> lo estipulado en el Capítulo XVIII de </w:t>
      </w:r>
      <w:r w:rsidR="00144E92" w:rsidRPr="00B327EB">
        <w:rPr>
          <w:rFonts w:ascii="Arial" w:eastAsia="Times New Roman" w:hAnsi="Arial" w:cs="Arial"/>
          <w:snapToGrid w:val="0"/>
          <w:sz w:val="18"/>
          <w:szCs w:val="18"/>
          <w:lang w:val="es-MX" w:eastAsia="es-ES"/>
        </w:rPr>
        <w:t>CBCF</w:t>
      </w:r>
      <w:r w:rsidRPr="00B327EB">
        <w:rPr>
          <w:rFonts w:ascii="Arial" w:eastAsia="Times New Roman" w:hAnsi="Arial" w:cs="Arial"/>
          <w:snapToGrid w:val="0"/>
          <w:sz w:val="18"/>
          <w:szCs w:val="18"/>
          <w:lang w:val="es-MX" w:eastAsia="es-ES"/>
        </w:rPr>
        <w:t>.</w:t>
      </w:r>
    </w:p>
    <w:p w14:paraId="35B86A97" w14:textId="7EDDE3D1" w:rsidR="00B84BD9" w:rsidRPr="00B327EB" w:rsidRDefault="00B84BD9" w:rsidP="00354640">
      <w:pPr>
        <w:spacing w:after="0" w:line="240" w:lineRule="auto"/>
        <w:jc w:val="both"/>
        <w:rPr>
          <w:rFonts w:ascii="Arial" w:eastAsia="Times New Roman" w:hAnsi="Arial" w:cs="Arial"/>
          <w:snapToGrid w:val="0"/>
          <w:sz w:val="18"/>
          <w:szCs w:val="18"/>
          <w:lang w:val="es-MX" w:eastAsia="es-ES"/>
        </w:rPr>
      </w:pPr>
    </w:p>
    <w:p w14:paraId="23638610" w14:textId="7A58CE74" w:rsidR="00D15DCF" w:rsidRPr="00D3728A" w:rsidRDefault="00D15DCF" w:rsidP="00D3728A">
      <w:pPr>
        <w:pStyle w:val="Prrafodelista"/>
        <w:numPr>
          <w:ilvl w:val="1"/>
          <w:numId w:val="34"/>
        </w:numPr>
        <w:pBdr>
          <w:left w:val="single" w:sz="4" w:space="4" w:color="auto"/>
        </w:pBdr>
        <w:spacing w:after="0" w:line="240" w:lineRule="auto"/>
        <w:jc w:val="both"/>
        <w:rPr>
          <w:rFonts w:ascii="Arial" w:eastAsia="Times New Roman" w:hAnsi="Arial" w:cs="Arial"/>
          <w:b/>
          <w:sz w:val="18"/>
          <w:szCs w:val="18"/>
          <w:lang w:val="es-ES" w:eastAsia="es-ES"/>
        </w:rPr>
      </w:pPr>
      <w:r w:rsidRPr="00D3728A">
        <w:rPr>
          <w:rFonts w:ascii="Arial" w:eastAsia="Times New Roman" w:hAnsi="Arial" w:cs="Arial"/>
          <w:b/>
          <w:sz w:val="18"/>
          <w:szCs w:val="18"/>
          <w:lang w:val="es-ES" w:eastAsia="es-ES"/>
        </w:rPr>
        <w:t xml:space="preserve">Riesgo de </w:t>
      </w:r>
      <w:r w:rsidR="00FD7F79" w:rsidRPr="00D3728A">
        <w:rPr>
          <w:rFonts w:ascii="Arial" w:eastAsia="Times New Roman" w:hAnsi="Arial" w:cs="Arial"/>
          <w:b/>
          <w:sz w:val="18"/>
          <w:szCs w:val="18"/>
          <w:lang w:val="es-ES" w:eastAsia="es-ES"/>
        </w:rPr>
        <w:t>derivados de crédito</w:t>
      </w:r>
    </w:p>
    <w:p w14:paraId="3C1AC783" w14:textId="77777777" w:rsidR="00D15DCF" w:rsidRPr="00B327EB" w:rsidRDefault="00D15DCF" w:rsidP="00354640">
      <w:pPr>
        <w:spacing w:after="0" w:line="240" w:lineRule="auto"/>
        <w:jc w:val="both"/>
        <w:rPr>
          <w:rFonts w:ascii="Arial" w:eastAsia="Times New Roman" w:hAnsi="Arial" w:cs="Arial"/>
          <w:snapToGrid w:val="0"/>
          <w:sz w:val="18"/>
          <w:szCs w:val="18"/>
          <w:lang w:val="es-MX" w:eastAsia="es-ES"/>
        </w:rPr>
      </w:pPr>
    </w:p>
    <w:p w14:paraId="6A64D32A" w14:textId="6F173FDC" w:rsidR="00D15DCF" w:rsidRPr="00B327EB" w:rsidRDefault="00D15DCF" w:rsidP="00982025">
      <w:pPr>
        <w:pBdr>
          <w:left w:val="single" w:sz="4" w:space="4" w:color="auto"/>
        </w:pBd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Para las operaciones de </w:t>
      </w:r>
      <w:r w:rsidR="00FD7F79">
        <w:rPr>
          <w:rFonts w:ascii="Arial" w:eastAsia="Times New Roman" w:hAnsi="Arial" w:cs="Arial"/>
          <w:b/>
          <w:bCs/>
          <w:snapToGrid w:val="0"/>
          <w:sz w:val="18"/>
          <w:szCs w:val="18"/>
          <w:lang w:val="es-MX" w:eastAsia="es-ES"/>
        </w:rPr>
        <w:t>derivados de crédito</w:t>
      </w:r>
      <w:r w:rsidRPr="00B327EB">
        <w:rPr>
          <w:rFonts w:ascii="Arial" w:eastAsia="Times New Roman" w:hAnsi="Arial" w:cs="Arial"/>
          <w:snapToGrid w:val="0"/>
          <w:sz w:val="18"/>
          <w:szCs w:val="18"/>
          <w:lang w:val="es-MX" w:eastAsia="es-ES"/>
        </w:rPr>
        <w:t xml:space="preserve">, el cálculo del riesgo busca capturar el riesgo asociado a movimientos adversos en el valor razonable de los </w:t>
      </w:r>
      <w:r w:rsidR="00FD7F79">
        <w:rPr>
          <w:rFonts w:ascii="Arial" w:eastAsia="Times New Roman" w:hAnsi="Arial" w:cs="Arial"/>
          <w:b/>
          <w:bCs/>
          <w:snapToGrid w:val="0"/>
          <w:sz w:val="18"/>
          <w:szCs w:val="18"/>
          <w:lang w:val="es-MX" w:eastAsia="es-ES"/>
        </w:rPr>
        <w:t>derivados de crédito</w:t>
      </w:r>
      <w:r w:rsidRPr="00B327EB">
        <w:rPr>
          <w:rFonts w:ascii="Arial" w:eastAsia="Times New Roman" w:hAnsi="Arial" w:cs="Arial"/>
          <w:snapToGrid w:val="0"/>
          <w:sz w:val="18"/>
          <w:szCs w:val="18"/>
          <w:lang w:val="es-MX" w:eastAsia="es-ES"/>
        </w:rPr>
        <w:t>, y corresponde a la suma de las posiciones netas ponderadas en cada operación d</w:t>
      </w:r>
      <w:r w:rsidR="00FD7F79">
        <w:rPr>
          <w:rFonts w:ascii="Arial" w:eastAsia="Times New Roman" w:hAnsi="Arial" w:cs="Arial"/>
          <w:snapToGrid w:val="0"/>
          <w:sz w:val="18"/>
          <w:szCs w:val="18"/>
          <w:lang w:val="es-MX" w:eastAsia="es-ES"/>
        </w:rPr>
        <w:t xml:space="preserve">e </w:t>
      </w:r>
      <w:r w:rsidR="00FD7F79">
        <w:rPr>
          <w:rFonts w:ascii="Arial" w:eastAsia="Times New Roman" w:hAnsi="Arial" w:cs="Arial"/>
          <w:b/>
          <w:bCs/>
          <w:snapToGrid w:val="0"/>
          <w:sz w:val="18"/>
          <w:szCs w:val="18"/>
          <w:lang w:val="es-MX" w:eastAsia="es-ES"/>
        </w:rPr>
        <w:t>derivados de crédito</w:t>
      </w:r>
      <w:r w:rsidRPr="00B327EB">
        <w:rPr>
          <w:rFonts w:ascii="Arial" w:eastAsia="Times New Roman" w:hAnsi="Arial" w:cs="Arial"/>
          <w:snapToGrid w:val="0"/>
          <w:sz w:val="18"/>
          <w:szCs w:val="18"/>
          <w:lang w:val="es-MX" w:eastAsia="es-ES"/>
        </w:rPr>
        <w:t>. La posición neta ponderada corresponde al producto de:</w:t>
      </w:r>
    </w:p>
    <w:p w14:paraId="3905E5A6" w14:textId="77777777" w:rsidR="00D15DCF" w:rsidRPr="00B327EB" w:rsidRDefault="00D15DCF" w:rsidP="00354640">
      <w:pPr>
        <w:spacing w:after="0" w:line="240" w:lineRule="auto"/>
        <w:jc w:val="both"/>
        <w:rPr>
          <w:rFonts w:ascii="Arial" w:eastAsia="Times New Roman" w:hAnsi="Arial" w:cs="Arial"/>
          <w:snapToGrid w:val="0"/>
          <w:sz w:val="18"/>
          <w:szCs w:val="18"/>
          <w:lang w:val="es-MX" w:eastAsia="es-ES"/>
        </w:rPr>
      </w:pPr>
    </w:p>
    <w:p w14:paraId="3247E0A8" w14:textId="75373FB2" w:rsidR="00D15DCF" w:rsidRPr="00B327EB" w:rsidRDefault="00D15DCF" w:rsidP="00982025">
      <w:pPr>
        <w:pStyle w:val="Prrafodelista"/>
        <w:numPr>
          <w:ilvl w:val="0"/>
          <w:numId w:val="31"/>
        </w:numPr>
        <w:pBdr>
          <w:left w:val="single" w:sz="4" w:space="4" w:color="auto"/>
        </w:pBd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La posición neta de cada </w:t>
      </w:r>
      <w:r w:rsidR="00FD7F79">
        <w:rPr>
          <w:rFonts w:ascii="Arial" w:eastAsia="Times New Roman" w:hAnsi="Arial" w:cs="Arial"/>
          <w:b/>
          <w:bCs/>
          <w:snapToGrid w:val="0"/>
          <w:sz w:val="18"/>
          <w:szCs w:val="18"/>
          <w:lang w:val="es-MX" w:eastAsia="es-ES"/>
        </w:rPr>
        <w:t>derivado de crédito</w:t>
      </w:r>
      <w:r w:rsidRPr="00B327EB">
        <w:rPr>
          <w:rFonts w:ascii="Arial" w:eastAsia="Times New Roman" w:hAnsi="Arial" w:cs="Arial"/>
          <w:snapToGrid w:val="0"/>
          <w:sz w:val="18"/>
          <w:szCs w:val="18"/>
          <w:lang w:val="es-MX" w:eastAsia="es-ES"/>
        </w:rPr>
        <w:t>.</w:t>
      </w:r>
    </w:p>
    <w:p w14:paraId="46B87E4E" w14:textId="77777777" w:rsidR="00742A15" w:rsidRPr="00B327EB" w:rsidRDefault="00742A15" w:rsidP="00982025">
      <w:pPr>
        <w:pBdr>
          <w:left w:val="single" w:sz="4" w:space="4" w:color="auto"/>
        </w:pBdr>
        <w:spacing w:after="0" w:line="240" w:lineRule="auto"/>
        <w:jc w:val="both"/>
        <w:rPr>
          <w:rFonts w:ascii="Arial" w:eastAsia="Times New Roman" w:hAnsi="Arial" w:cs="Arial"/>
          <w:snapToGrid w:val="0"/>
          <w:sz w:val="18"/>
          <w:szCs w:val="18"/>
          <w:lang w:val="es-MX" w:eastAsia="es-ES"/>
        </w:rPr>
      </w:pPr>
    </w:p>
    <w:p w14:paraId="6FA4CB6C" w14:textId="7328593E" w:rsidR="00A53ABF" w:rsidRDefault="00D15DCF" w:rsidP="00721B41">
      <w:pPr>
        <w:pStyle w:val="Prrafodelista"/>
        <w:numPr>
          <w:ilvl w:val="0"/>
          <w:numId w:val="31"/>
        </w:numPr>
        <w:pBdr>
          <w:left w:val="single" w:sz="4" w:space="4" w:color="auto"/>
        </w:pBdr>
        <w:spacing w:after="0" w:line="240" w:lineRule="auto"/>
        <w:ind w:left="284" w:hanging="284"/>
        <w:jc w:val="both"/>
        <w:rPr>
          <w:rFonts w:ascii="Arial" w:eastAsia="Times New Roman" w:hAnsi="Arial" w:cs="Arial"/>
          <w:snapToGrid w:val="0"/>
          <w:sz w:val="18"/>
          <w:szCs w:val="18"/>
          <w:lang w:val="es-MX" w:eastAsia="es-ES"/>
        </w:rPr>
      </w:pPr>
      <w:r w:rsidRPr="00A53ABF">
        <w:rPr>
          <w:rFonts w:ascii="Arial" w:eastAsia="Times New Roman" w:hAnsi="Arial" w:cs="Arial"/>
          <w:snapToGrid w:val="0"/>
          <w:sz w:val="18"/>
          <w:szCs w:val="18"/>
          <w:lang w:val="es-MX" w:eastAsia="es-ES"/>
        </w:rPr>
        <w:t xml:space="preserve">El factor de sensibilidad al riesgo general de los </w:t>
      </w:r>
      <w:r w:rsidR="00FD7F79" w:rsidRPr="00A53ABF">
        <w:rPr>
          <w:rFonts w:ascii="Arial" w:eastAsia="Times New Roman" w:hAnsi="Arial" w:cs="Arial"/>
          <w:b/>
          <w:bCs/>
          <w:snapToGrid w:val="0"/>
          <w:sz w:val="18"/>
          <w:szCs w:val="18"/>
          <w:lang w:val="es-MX" w:eastAsia="es-ES"/>
        </w:rPr>
        <w:t>derivados de crédito</w:t>
      </w:r>
      <w:r w:rsidRPr="00A53ABF">
        <w:rPr>
          <w:rFonts w:ascii="Arial" w:eastAsia="Times New Roman" w:hAnsi="Arial" w:cs="Arial"/>
          <w:snapToGrid w:val="0"/>
          <w:sz w:val="18"/>
          <w:szCs w:val="18"/>
          <w:lang w:val="es-MX" w:eastAsia="es-ES"/>
        </w:rPr>
        <w:t xml:space="preserve"> publicado por la SFC.</w:t>
      </w:r>
    </w:p>
    <w:p w14:paraId="6DF48845" w14:textId="77777777" w:rsidR="00721B41" w:rsidRPr="00721B41" w:rsidRDefault="00721B41" w:rsidP="00721B41">
      <w:pPr>
        <w:pBdr>
          <w:left w:val="single" w:sz="4" w:space="4" w:color="auto"/>
        </w:pBdr>
        <w:spacing w:after="0" w:line="240" w:lineRule="auto"/>
        <w:jc w:val="both"/>
        <w:rPr>
          <w:rFonts w:ascii="Arial" w:eastAsia="Times New Roman" w:hAnsi="Arial" w:cs="Arial"/>
          <w:snapToGrid w:val="0"/>
          <w:sz w:val="18"/>
          <w:szCs w:val="18"/>
          <w:lang w:val="es-MX" w:eastAsia="es-ES"/>
        </w:rPr>
      </w:pPr>
    </w:p>
    <w:p w14:paraId="3D044AF2" w14:textId="77777777" w:rsidR="00721B41" w:rsidRPr="00721B41" w:rsidRDefault="00721B41" w:rsidP="00721B41">
      <w:pPr>
        <w:pBdr>
          <w:left w:val="single" w:sz="4" w:space="4" w:color="auto"/>
        </w:pBdr>
        <w:spacing w:after="0" w:line="240" w:lineRule="auto"/>
        <w:jc w:val="both"/>
        <w:rPr>
          <w:rFonts w:ascii="Arial" w:eastAsia="Times New Roman" w:hAnsi="Arial" w:cs="Arial"/>
          <w:b/>
          <w:bCs/>
          <w:snapToGrid w:val="0"/>
          <w:sz w:val="18"/>
          <w:szCs w:val="18"/>
          <w:lang w:val="es-ES" w:eastAsia="es-ES"/>
        </w:rPr>
      </w:pPr>
      <w:r w:rsidRPr="00721B41">
        <w:rPr>
          <w:rFonts w:ascii="Arial" w:eastAsia="Times New Roman" w:hAnsi="Arial" w:cs="Arial"/>
          <w:b/>
          <w:bCs/>
          <w:snapToGrid w:val="0"/>
          <w:sz w:val="18"/>
          <w:szCs w:val="18"/>
          <w:lang w:val="es-MX" w:eastAsia="es-ES"/>
        </w:rPr>
        <w:t>Cuando se trate de derivados de crédito que, de acuerdo con su valoración, no puedan descomponerse y se asemejen en su comportamiento y estructura a una opción, el riesgo de mercado deberá calcularse de acuerdo con las reglas contenidas en el numeral 1.1.6 del presente Anexo.</w:t>
      </w:r>
    </w:p>
    <w:p w14:paraId="2A489026" w14:textId="77777777" w:rsidR="00D3728A" w:rsidRDefault="00D3728A" w:rsidP="00D3728A">
      <w:pPr>
        <w:spacing w:after="0" w:line="240" w:lineRule="auto"/>
        <w:contextualSpacing/>
        <w:jc w:val="both"/>
        <w:rPr>
          <w:rFonts w:ascii="Arial" w:eastAsia="Times New Roman" w:hAnsi="Arial" w:cs="Arial"/>
          <w:snapToGrid w:val="0"/>
          <w:sz w:val="18"/>
          <w:szCs w:val="18"/>
          <w:lang w:val="es-MX" w:eastAsia="es-ES"/>
        </w:rPr>
      </w:pPr>
    </w:p>
    <w:p w14:paraId="534F684C" w14:textId="01DAC7FF" w:rsidR="00AB2DEF" w:rsidRPr="00D3728A" w:rsidRDefault="00AB2DEF" w:rsidP="00D3728A">
      <w:pPr>
        <w:pStyle w:val="Prrafodelista"/>
        <w:numPr>
          <w:ilvl w:val="1"/>
          <w:numId w:val="34"/>
        </w:numPr>
        <w:spacing w:after="0" w:line="240" w:lineRule="auto"/>
        <w:jc w:val="both"/>
        <w:rPr>
          <w:rFonts w:ascii="Arial" w:eastAsia="Times New Roman" w:hAnsi="Arial" w:cs="Arial"/>
          <w:b/>
          <w:sz w:val="18"/>
          <w:szCs w:val="18"/>
          <w:lang w:val="es-ES" w:eastAsia="es-ES"/>
        </w:rPr>
      </w:pPr>
      <w:r w:rsidRPr="00D3728A">
        <w:rPr>
          <w:rFonts w:ascii="Arial" w:eastAsia="Times New Roman" w:hAnsi="Arial" w:cs="Arial"/>
          <w:b/>
          <w:sz w:val="18"/>
          <w:szCs w:val="18"/>
          <w:lang w:val="es-ES" w:eastAsia="es-ES"/>
        </w:rPr>
        <w:t>Cálculo exposición total a los riesgos de mercado con el modelo estándar</w:t>
      </w:r>
    </w:p>
    <w:p w14:paraId="2860FED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2C1DE9D5" w14:textId="53AC05D3"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Con el fin de calcular la exposición total a los riesgos de mercado, las entidades a que hace referencia el presente anexo deben sumar las exposiciones obtenidas para cada uno de los módulos de la metodología estandarizada, </w:t>
      </w:r>
      <w:r w:rsidR="00AB7F1D" w:rsidRPr="00B327EB">
        <w:rPr>
          <w:rFonts w:ascii="Arial" w:eastAsia="Times New Roman" w:hAnsi="Arial" w:cs="Arial"/>
          <w:snapToGrid w:val="0"/>
          <w:sz w:val="18"/>
          <w:szCs w:val="18"/>
          <w:lang w:val="es-MX" w:eastAsia="es-ES"/>
        </w:rPr>
        <w:t>de acuerdo con</w:t>
      </w:r>
      <w:r w:rsidRPr="00B327EB">
        <w:rPr>
          <w:rFonts w:ascii="Arial" w:eastAsia="Times New Roman" w:hAnsi="Arial" w:cs="Arial"/>
          <w:snapToGrid w:val="0"/>
          <w:sz w:val="18"/>
          <w:szCs w:val="18"/>
          <w:lang w:val="es-MX" w:eastAsia="es-ES"/>
        </w:rPr>
        <w:t xml:space="preserve"> lo descrito en los </w:t>
      </w:r>
      <w:proofErr w:type="spellStart"/>
      <w:r w:rsidRPr="00B327EB">
        <w:rPr>
          <w:rFonts w:ascii="Arial" w:eastAsia="Times New Roman" w:hAnsi="Arial" w:cs="Arial"/>
          <w:snapToGrid w:val="0"/>
          <w:sz w:val="18"/>
          <w:szCs w:val="18"/>
          <w:lang w:val="es-MX" w:eastAsia="es-ES"/>
        </w:rPr>
        <w:t>subnumerales</w:t>
      </w:r>
      <w:proofErr w:type="spellEnd"/>
      <w:r w:rsidRPr="00B327EB">
        <w:rPr>
          <w:rFonts w:ascii="Arial" w:eastAsia="Times New Roman" w:hAnsi="Arial" w:cs="Arial"/>
          <w:snapToGrid w:val="0"/>
          <w:sz w:val="18"/>
          <w:szCs w:val="18"/>
          <w:lang w:val="es-MX" w:eastAsia="es-ES"/>
        </w:rPr>
        <w:t xml:space="preserve"> </w:t>
      </w:r>
      <w:r w:rsidR="00CE2B9B" w:rsidRPr="00B327EB">
        <w:rPr>
          <w:rFonts w:ascii="Arial" w:eastAsia="Times New Roman" w:hAnsi="Arial" w:cs="Arial"/>
          <w:snapToGrid w:val="0"/>
          <w:sz w:val="18"/>
          <w:szCs w:val="18"/>
          <w:lang w:val="es-MX" w:eastAsia="es-ES"/>
        </w:rPr>
        <w:t>2.2 a 2.</w:t>
      </w:r>
      <w:r w:rsidR="009A2B61" w:rsidRPr="00B327EB">
        <w:rPr>
          <w:rFonts w:ascii="Arial" w:eastAsia="Times New Roman" w:hAnsi="Arial" w:cs="Arial"/>
          <w:snapToGrid w:val="0"/>
          <w:sz w:val="18"/>
          <w:szCs w:val="18"/>
          <w:lang w:val="es-MX" w:eastAsia="es-ES"/>
        </w:rPr>
        <w:t>5 y 2.7</w:t>
      </w:r>
      <w:r w:rsidRPr="00B327EB">
        <w:rPr>
          <w:rFonts w:ascii="Arial" w:eastAsia="Times New Roman" w:hAnsi="Arial" w:cs="Arial"/>
          <w:snapToGrid w:val="0"/>
          <w:sz w:val="18"/>
          <w:szCs w:val="18"/>
          <w:lang w:val="es-MX" w:eastAsia="es-ES"/>
        </w:rPr>
        <w:t xml:space="preserve"> del presente anexo.</w:t>
      </w:r>
    </w:p>
    <w:p w14:paraId="12A054C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2BE19D01"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monto obtenido siguiendo este procedimiento, corresponde al valor de la exposición por riesgo de mercado aplicable al cálculo del patrimonio adecuado de las entidades de seguros generales de conformidad con lo dispuesto en el artículo 2.31.1.2.10 del Decreto 2555 de 2010 o demás normas que lo sustituyan, modifiquen o subroguen.</w:t>
      </w:r>
    </w:p>
    <w:p w14:paraId="0950FE1E"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0D2F980E" w14:textId="5E78FE09" w:rsidR="00330A40" w:rsidRPr="00B327EB" w:rsidRDefault="00AB2DEF" w:rsidP="00D3728A">
      <w:pPr>
        <w:numPr>
          <w:ilvl w:val="1"/>
          <w:numId w:val="34"/>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Reglas relativas a la medición de riesgos de mercado a través de modelos internos para</w:t>
      </w:r>
      <w:r w:rsidR="006D58B4" w:rsidRPr="00B327EB">
        <w:rPr>
          <w:rFonts w:ascii="Arial" w:eastAsia="Times New Roman" w:hAnsi="Arial" w:cs="Arial"/>
          <w:b/>
          <w:sz w:val="18"/>
          <w:szCs w:val="18"/>
          <w:lang w:val="es-ES" w:eastAsia="es-ES"/>
        </w:rPr>
        <w:t xml:space="preserve"> entidades de seguros generales</w:t>
      </w:r>
    </w:p>
    <w:p w14:paraId="1B56F2E3"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71B0AB9B" w14:textId="01AC78BB"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Las entidades de seguros generales que de acuerdo con lo señalado en el presente </w:t>
      </w:r>
      <w:r w:rsidR="00144E92" w:rsidRPr="00B327EB">
        <w:rPr>
          <w:rFonts w:ascii="Arial" w:eastAsia="Times New Roman" w:hAnsi="Arial" w:cs="Arial"/>
          <w:snapToGrid w:val="0"/>
          <w:sz w:val="18"/>
          <w:szCs w:val="18"/>
          <w:lang w:val="es-MX" w:eastAsia="es-ES"/>
        </w:rPr>
        <w:t>C</w:t>
      </w:r>
      <w:r w:rsidRPr="00B327EB">
        <w:rPr>
          <w:rFonts w:ascii="Arial" w:eastAsia="Times New Roman" w:hAnsi="Arial" w:cs="Arial"/>
          <w:snapToGrid w:val="0"/>
          <w:sz w:val="18"/>
          <w:szCs w:val="18"/>
          <w:lang w:val="es-MX" w:eastAsia="es-ES"/>
        </w:rPr>
        <w:t xml:space="preserve">apítulo puedan adoptar modelos internos para la medición de los riesgos de mercado, deben tener en cuenta en su diseño los parámetros mínimos establecidos en el presente numeral, de acuerdo con lo establecido en el numeral </w:t>
      </w:r>
      <w:r w:rsidR="00BA5377" w:rsidRPr="00B327EB">
        <w:rPr>
          <w:rFonts w:ascii="Arial" w:eastAsia="Times New Roman" w:hAnsi="Arial" w:cs="Arial"/>
          <w:snapToGrid w:val="0"/>
          <w:sz w:val="18"/>
          <w:szCs w:val="18"/>
          <w:lang w:val="es-MX" w:eastAsia="es-ES"/>
        </w:rPr>
        <w:t xml:space="preserve">3 de la Parte III </w:t>
      </w:r>
      <w:r w:rsidRPr="00B327EB">
        <w:rPr>
          <w:rFonts w:ascii="Arial" w:eastAsia="Times New Roman" w:hAnsi="Arial" w:cs="Arial"/>
          <w:snapToGrid w:val="0"/>
          <w:sz w:val="18"/>
          <w:szCs w:val="18"/>
          <w:lang w:val="es-MX" w:eastAsia="es-ES"/>
        </w:rPr>
        <w:t xml:space="preserve">del presente </w:t>
      </w:r>
      <w:r w:rsidR="00144E92" w:rsidRPr="00B327EB">
        <w:rPr>
          <w:rFonts w:ascii="Arial" w:eastAsia="Times New Roman" w:hAnsi="Arial" w:cs="Arial"/>
          <w:snapToGrid w:val="0"/>
          <w:sz w:val="18"/>
          <w:szCs w:val="18"/>
          <w:lang w:val="es-MX" w:eastAsia="es-ES"/>
        </w:rPr>
        <w:t>C</w:t>
      </w:r>
      <w:r w:rsidRPr="00B327EB">
        <w:rPr>
          <w:rFonts w:ascii="Arial" w:eastAsia="Times New Roman" w:hAnsi="Arial" w:cs="Arial"/>
          <w:snapToGrid w:val="0"/>
          <w:sz w:val="18"/>
          <w:szCs w:val="18"/>
          <w:lang w:val="es-MX" w:eastAsia="es-ES"/>
        </w:rPr>
        <w:t>apítulo.</w:t>
      </w:r>
    </w:p>
    <w:p w14:paraId="21B4528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57CA5650" w14:textId="77777777" w:rsidR="00C406EB" w:rsidRDefault="00AB2DEF" w:rsidP="00354640">
      <w:pPr>
        <w:spacing w:after="0" w:line="240" w:lineRule="auto"/>
        <w:jc w:val="both"/>
        <w:rPr>
          <w:rFonts w:ascii="Arial" w:eastAsia="Times New Roman" w:hAnsi="Arial" w:cs="Arial"/>
          <w:snapToGrid w:val="0"/>
          <w:sz w:val="18"/>
          <w:szCs w:val="18"/>
          <w:lang w:val="es-MX" w:eastAsia="es-ES"/>
        </w:rPr>
        <w:sectPr w:rsidR="00C406EB" w:rsidSect="00982025">
          <w:headerReference w:type="default" r:id="rId18"/>
          <w:pgSz w:w="12242" w:h="18722" w:code="14"/>
          <w:pgMar w:top="1418" w:right="1701" w:bottom="1418" w:left="1701" w:header="1134" w:footer="1134" w:gutter="0"/>
          <w:cols w:space="708"/>
          <w:docGrid w:linePitch="360"/>
        </w:sectPr>
      </w:pPr>
      <w:r w:rsidRPr="00B327EB">
        <w:rPr>
          <w:rFonts w:ascii="Arial" w:eastAsia="Times New Roman" w:hAnsi="Arial" w:cs="Arial"/>
          <w:snapToGrid w:val="0"/>
          <w:sz w:val="18"/>
          <w:szCs w:val="18"/>
          <w:lang w:val="es-MX" w:eastAsia="es-ES"/>
        </w:rPr>
        <w:t xml:space="preserve">En todo caso, hasta tanto no cuenten con </w:t>
      </w:r>
      <w:r w:rsidR="00CE56DB" w:rsidRPr="00B327EB">
        <w:rPr>
          <w:rFonts w:ascii="Arial" w:eastAsia="Times New Roman" w:hAnsi="Arial" w:cs="Arial"/>
          <w:snapToGrid w:val="0"/>
          <w:sz w:val="18"/>
          <w:szCs w:val="18"/>
          <w:lang w:val="es-ES_tradnl" w:eastAsia="es-ES"/>
        </w:rPr>
        <w:t>el pronunciamiento de no objeción de los</w:t>
      </w:r>
      <w:r w:rsidR="00CE56DB" w:rsidRPr="00B327EB">
        <w:rPr>
          <w:rFonts w:ascii="Arial" w:eastAsia="Times New Roman" w:hAnsi="Arial" w:cs="Arial"/>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modelos </w:t>
      </w:r>
      <w:r w:rsidR="00CE56DB" w:rsidRPr="00B327EB">
        <w:rPr>
          <w:rFonts w:ascii="Arial" w:eastAsia="Times New Roman" w:hAnsi="Arial" w:cs="Arial"/>
          <w:snapToGrid w:val="0"/>
          <w:sz w:val="18"/>
          <w:szCs w:val="18"/>
          <w:lang w:val="es-MX" w:eastAsia="es-ES"/>
        </w:rPr>
        <w:t>internos presentados a la SFC</w:t>
      </w:r>
      <w:r w:rsidRPr="00B327EB">
        <w:rPr>
          <w:rFonts w:ascii="Arial" w:eastAsia="Times New Roman" w:hAnsi="Arial" w:cs="Arial"/>
          <w:snapToGrid w:val="0"/>
          <w:sz w:val="18"/>
          <w:szCs w:val="18"/>
          <w:lang w:val="es-MX" w:eastAsia="es-ES"/>
        </w:rPr>
        <w:t>, tales entidades deben utilizar el modelo estándar para la medición de sus exposiciones a los riesgos de mercado.</w:t>
      </w:r>
    </w:p>
    <w:p w14:paraId="3AB2D3A4" w14:textId="7AAA3D66" w:rsidR="00AB2DEF" w:rsidRDefault="00AB2DEF" w:rsidP="00354640">
      <w:pPr>
        <w:spacing w:after="0" w:line="240" w:lineRule="auto"/>
        <w:jc w:val="both"/>
        <w:rPr>
          <w:rFonts w:ascii="Arial" w:eastAsia="Times New Roman" w:hAnsi="Arial" w:cs="Arial"/>
          <w:snapToGrid w:val="0"/>
          <w:sz w:val="18"/>
          <w:szCs w:val="18"/>
          <w:lang w:val="es-MX" w:eastAsia="es-ES"/>
        </w:rPr>
      </w:pPr>
    </w:p>
    <w:p w14:paraId="0C9F7ABD" w14:textId="253BF732" w:rsidR="00AB2DEF" w:rsidRPr="000F5CBD"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Sin perjuicio de lo anterior, todas las entidades a que se refiere este numeral deben estar en capacidad de reportar el valor que resultaría de calcular la exposición a riesgos de mercado utilizando la metodología estandarizada.</w:t>
      </w:r>
    </w:p>
    <w:sectPr w:rsidR="00AB2DEF" w:rsidRPr="000F5CBD" w:rsidSect="00982025">
      <w:headerReference w:type="default" r:id="rId19"/>
      <w:pgSz w:w="12242" w:h="18722" w:code="14"/>
      <w:pgMar w:top="1418"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CD9C8" w14:textId="77777777" w:rsidR="009A51FC" w:rsidRDefault="009A51FC" w:rsidP="00AB2DEF">
      <w:pPr>
        <w:spacing w:after="0" w:line="240" w:lineRule="auto"/>
      </w:pPr>
      <w:r>
        <w:separator/>
      </w:r>
    </w:p>
  </w:endnote>
  <w:endnote w:type="continuationSeparator" w:id="0">
    <w:p w14:paraId="0F083F53" w14:textId="77777777" w:rsidR="009A51FC" w:rsidRDefault="009A51FC" w:rsidP="00AB2DEF">
      <w:pPr>
        <w:spacing w:after="0" w:line="240" w:lineRule="auto"/>
      </w:pPr>
      <w:r>
        <w:continuationSeparator/>
      </w:r>
    </w:p>
  </w:endnote>
  <w:endnote w:type="continuationNotice" w:id="1">
    <w:p w14:paraId="13837F84" w14:textId="77777777" w:rsidR="009A51FC" w:rsidRDefault="009A51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B0FB" w14:textId="77777777" w:rsidR="00AF4B9E" w:rsidRDefault="00AF4B9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29F9" w14:textId="77777777" w:rsidR="00CC3E2A" w:rsidRDefault="00CC3E2A" w:rsidP="00CC43A5">
    <w:pPr>
      <w:spacing w:line="240" w:lineRule="auto"/>
      <w:ind w:right="-91"/>
      <w:jc w:val="both"/>
      <w:outlineLvl w:val="0"/>
      <w:rPr>
        <w:rStyle w:val="Nmerodepgina"/>
        <w:rFonts w:ascii="Arial" w:hAnsi="Arial" w:cs="Arial"/>
        <w:b/>
        <w:bCs/>
        <w:sz w:val="18"/>
        <w:szCs w:val="18"/>
      </w:rPr>
    </w:pPr>
  </w:p>
  <w:p w14:paraId="47203B9C" w14:textId="5AE993BB" w:rsidR="00CC3E2A" w:rsidRPr="00FC4A84" w:rsidRDefault="00CC3E2A" w:rsidP="00CC43A5">
    <w:pPr>
      <w:pStyle w:val="Piedepgina"/>
      <w:tabs>
        <w:tab w:val="right" w:pos="8789"/>
      </w:tabs>
      <w:ind w:right="-91"/>
      <w:rPr>
        <w:rFonts w:ascii="Arial" w:hAnsi="Arial" w:cs="Arial"/>
        <w:b/>
        <w:sz w:val="18"/>
        <w:szCs w:val="18"/>
        <w:lang w:val="pt-BR"/>
      </w:rPr>
    </w:pPr>
    <w:r w:rsidRPr="00FC4A84">
      <w:rPr>
        <w:rStyle w:val="Nmerodepgina"/>
        <w:rFonts w:ascii="Arial" w:hAnsi="Arial" w:cs="Arial"/>
        <w:b/>
        <w:bCs/>
        <w:sz w:val="18"/>
        <w:szCs w:val="18"/>
        <w:lang w:val="pt-BR"/>
      </w:rPr>
      <w:t>Circular Externa</w:t>
    </w:r>
    <w:r>
      <w:rPr>
        <w:rStyle w:val="Nmerodepgina"/>
        <w:rFonts w:ascii="Arial" w:hAnsi="Arial" w:cs="Arial"/>
        <w:b/>
        <w:bCs/>
        <w:sz w:val="18"/>
        <w:szCs w:val="18"/>
        <w:lang w:val="pt-BR"/>
      </w:rPr>
      <w:t xml:space="preserve"> </w:t>
    </w:r>
    <w:proofErr w:type="spellStart"/>
    <w:r w:rsidR="00B6034A">
      <w:rPr>
        <w:rStyle w:val="Nmerodepgina"/>
        <w:rFonts w:ascii="Arial" w:hAnsi="Arial" w:cs="Arial"/>
        <w:b/>
        <w:bCs/>
        <w:sz w:val="18"/>
        <w:szCs w:val="18"/>
        <w:lang w:val="pt-BR"/>
      </w:rPr>
      <w:t>xxx</w:t>
    </w:r>
    <w:proofErr w:type="spellEnd"/>
    <w:r>
      <w:rPr>
        <w:rStyle w:val="Nmerodepgina"/>
        <w:rFonts w:ascii="Arial" w:hAnsi="Arial" w:cs="Arial"/>
        <w:b/>
        <w:bCs/>
        <w:sz w:val="18"/>
        <w:szCs w:val="18"/>
        <w:lang w:val="pt-BR"/>
      </w:rPr>
      <w:t xml:space="preserve"> </w:t>
    </w:r>
    <w:r w:rsidRPr="00FC4A84">
      <w:rPr>
        <w:rStyle w:val="Nmerodepgina"/>
        <w:rFonts w:ascii="Arial" w:hAnsi="Arial" w:cs="Arial"/>
        <w:b/>
        <w:bCs/>
        <w:sz w:val="18"/>
        <w:szCs w:val="18"/>
        <w:lang w:val="pt-BR"/>
      </w:rPr>
      <w:t>de 20</w:t>
    </w:r>
    <w:r>
      <w:rPr>
        <w:rStyle w:val="Nmerodepgina"/>
        <w:rFonts w:ascii="Arial" w:hAnsi="Arial" w:cs="Arial"/>
        <w:b/>
        <w:bCs/>
        <w:sz w:val="18"/>
        <w:szCs w:val="18"/>
        <w:lang w:val="pt-BR"/>
      </w:rPr>
      <w:t>2</w:t>
    </w:r>
    <w:r w:rsidR="00AF4B9E">
      <w:rPr>
        <w:rStyle w:val="Nmerodepgina"/>
        <w:rFonts w:ascii="Arial" w:hAnsi="Arial" w:cs="Arial"/>
        <w:b/>
        <w:bCs/>
        <w:sz w:val="18"/>
        <w:szCs w:val="18"/>
        <w:lang w:val="pt-BR"/>
      </w:rPr>
      <w:t>3</w:t>
    </w:r>
    <w:r w:rsidRPr="00FC4A84">
      <w:rPr>
        <w:rStyle w:val="Nmerodepgina"/>
        <w:rFonts w:ascii="Arial" w:hAnsi="Arial" w:cs="Arial"/>
        <w:b/>
        <w:bCs/>
        <w:sz w:val="18"/>
        <w:szCs w:val="18"/>
        <w:lang w:val="pt-BR"/>
      </w:rPr>
      <w:tab/>
    </w:r>
    <w:r w:rsidRPr="00FC4A84">
      <w:rPr>
        <w:rStyle w:val="Nmerodepgina"/>
        <w:rFonts w:ascii="Arial" w:hAnsi="Arial" w:cs="Arial"/>
        <w:b/>
        <w:sz w:val="18"/>
        <w:szCs w:val="18"/>
        <w:lang w:val="pt-BR"/>
      </w:rPr>
      <w:t xml:space="preserve"> </w:t>
    </w:r>
    <w:r>
      <w:rPr>
        <w:rStyle w:val="Nmerodepgina"/>
        <w:rFonts w:ascii="Arial" w:hAnsi="Arial" w:cs="Arial"/>
        <w:b/>
        <w:bCs/>
        <w:sz w:val="18"/>
        <w:szCs w:val="18"/>
        <w:lang w:val="pt-BR"/>
      </w:rPr>
      <w:tab/>
    </w:r>
    <w:proofErr w:type="spellStart"/>
    <w:r w:rsidR="00AF4B9E">
      <w:rPr>
        <w:rStyle w:val="Nmerodepgina"/>
        <w:rFonts w:ascii="Arial" w:hAnsi="Arial" w:cs="Arial"/>
        <w:b/>
        <w:bCs/>
        <w:sz w:val="18"/>
        <w:szCs w:val="18"/>
        <w:lang w:val="pt-BR"/>
      </w:rPr>
      <w:t>Enero</w:t>
    </w:r>
    <w:proofErr w:type="spellEnd"/>
    <w:r w:rsidRPr="00FC4A84">
      <w:rPr>
        <w:rStyle w:val="Nmerodepgina"/>
        <w:rFonts w:ascii="Arial" w:hAnsi="Arial" w:cs="Arial"/>
        <w:b/>
        <w:bCs/>
        <w:sz w:val="18"/>
        <w:szCs w:val="18"/>
        <w:lang w:val="pt-BR"/>
      </w:rPr>
      <w:t xml:space="preserve"> de </w:t>
    </w:r>
    <w:r>
      <w:rPr>
        <w:rStyle w:val="Nmerodepgina"/>
        <w:rFonts w:ascii="Arial" w:hAnsi="Arial" w:cs="Arial"/>
        <w:b/>
        <w:bCs/>
        <w:sz w:val="18"/>
        <w:szCs w:val="18"/>
        <w:lang w:val="pt-BR"/>
      </w:rPr>
      <w:t>202</w:t>
    </w:r>
    <w:r w:rsidR="00AF4B9E">
      <w:rPr>
        <w:rStyle w:val="Nmerodepgina"/>
        <w:rFonts w:ascii="Arial" w:hAnsi="Arial" w:cs="Arial"/>
        <w:b/>
        <w:bCs/>
        <w:sz w:val="18"/>
        <w:szCs w:val="18"/>
        <w:lang w:val="pt-BR"/>
      </w:rPr>
      <w:t>3</w:t>
    </w:r>
  </w:p>
  <w:p w14:paraId="3A9BA996" w14:textId="77777777" w:rsidR="00CC3E2A" w:rsidRPr="00CC43A5" w:rsidRDefault="00CC3E2A">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C870D" w14:textId="77777777" w:rsidR="00AF4B9E" w:rsidRDefault="00AF4B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2A41" w14:textId="77777777" w:rsidR="009A51FC" w:rsidRDefault="009A51FC" w:rsidP="00AB2DEF">
      <w:pPr>
        <w:spacing w:after="0" w:line="240" w:lineRule="auto"/>
      </w:pPr>
      <w:r>
        <w:separator/>
      </w:r>
    </w:p>
  </w:footnote>
  <w:footnote w:type="continuationSeparator" w:id="0">
    <w:p w14:paraId="613922D8" w14:textId="77777777" w:rsidR="009A51FC" w:rsidRDefault="009A51FC" w:rsidP="00AB2DEF">
      <w:pPr>
        <w:spacing w:after="0" w:line="240" w:lineRule="auto"/>
      </w:pPr>
      <w:r>
        <w:continuationSeparator/>
      </w:r>
    </w:p>
  </w:footnote>
  <w:footnote w:type="continuationNotice" w:id="1">
    <w:p w14:paraId="17D09891" w14:textId="77777777" w:rsidR="009A51FC" w:rsidRDefault="009A51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EAC7" w14:textId="77777777" w:rsidR="00AF4B9E" w:rsidRDefault="00AF4B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8EE7" w14:textId="77777777" w:rsidR="00CC3E2A" w:rsidRDefault="00CC3E2A" w:rsidP="002824B6">
    <w:pPr>
      <w:pStyle w:val="Ttulo"/>
      <w:rPr>
        <w:rFonts w:cs="Arial"/>
        <w:b w:val="0"/>
        <w:sz w:val="24"/>
        <w:szCs w:val="24"/>
      </w:rPr>
    </w:pPr>
    <w:r w:rsidRPr="000A50F3">
      <w:rPr>
        <w:rFonts w:cs="Arial"/>
        <w:sz w:val="24"/>
        <w:szCs w:val="24"/>
      </w:rPr>
      <w:t>SUPERINTENDENCIA FINANCIERA DE COLOMBIA</w:t>
    </w:r>
  </w:p>
  <w:p w14:paraId="1ECAF2DC" w14:textId="77777777" w:rsidR="00CC3E2A" w:rsidRDefault="00CC3E2A" w:rsidP="002824B6">
    <w:pPr>
      <w:pStyle w:val="Encabezado"/>
      <w:ind w:right="-21"/>
      <w:rPr>
        <w:rFonts w:ascii="Arial" w:hAnsi="Arial"/>
        <w:b/>
        <w:sz w:val="18"/>
      </w:rPr>
    </w:pPr>
  </w:p>
  <w:p w14:paraId="6AD3AB93" w14:textId="0DA9F3F2" w:rsidR="00CC3E2A" w:rsidRDefault="00CC3E2A" w:rsidP="002824B6">
    <w:pPr>
      <w:pStyle w:val="Encabezado"/>
      <w:ind w:right="-21"/>
      <w:rPr>
        <w:rFonts w:ascii="Arial" w:hAnsi="Arial"/>
        <w:b/>
        <w:sz w:val="18"/>
      </w:rPr>
    </w:pPr>
    <w:r>
      <w:rPr>
        <w:rFonts w:ascii="Arial" w:hAnsi="Arial"/>
        <w:b/>
        <w:sz w:val="18"/>
      </w:rPr>
      <w:t>CAPÍTULO XXXI SISTEMA INTEGRAL DE ADMINISTRACIÓN DE RIESGOS</w:t>
    </w:r>
    <w:r w:rsidR="001217B3">
      <w:rPr>
        <w:rFonts w:ascii="Arial" w:hAnsi="Arial"/>
        <w:b/>
        <w:sz w:val="18"/>
      </w:rPr>
      <w:t xml:space="preserve"> (SIAR)</w:t>
    </w:r>
  </w:p>
  <w:p w14:paraId="556A1572" w14:textId="77777777" w:rsidR="00CC3E2A" w:rsidRDefault="00CC3E2A" w:rsidP="002824B6">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Pr>
        <w:rFonts w:ascii="Arial (W1)" w:hAnsi="Arial (W1)"/>
        <w:b/>
        <w:noProof/>
        <w:sz w:val="18"/>
        <w:szCs w:val="18"/>
      </w:rPr>
      <w:t>12</w:t>
    </w:r>
    <w:r w:rsidRPr="001A3E3E">
      <w:rPr>
        <w:rFonts w:ascii="Arial (W1)" w:hAnsi="Arial (W1)"/>
        <w:b/>
        <w:sz w:val="18"/>
        <w:szCs w:val="18"/>
      </w:rPr>
      <w:fldChar w:fldCharType="end"/>
    </w:r>
  </w:p>
  <w:p w14:paraId="61C597BF" w14:textId="77777777" w:rsidR="00CC3E2A" w:rsidRDefault="00CC3E2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1355" w14:textId="77777777" w:rsidR="00AF4B9E" w:rsidRDefault="00AF4B9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2C13" w14:textId="77777777" w:rsidR="001C58BD" w:rsidRDefault="001C58BD" w:rsidP="002824B6">
    <w:pPr>
      <w:pStyle w:val="Ttulo"/>
      <w:rPr>
        <w:rFonts w:cs="Arial"/>
        <w:b w:val="0"/>
        <w:sz w:val="24"/>
        <w:szCs w:val="24"/>
      </w:rPr>
    </w:pPr>
    <w:r w:rsidRPr="000A50F3">
      <w:rPr>
        <w:rFonts w:cs="Arial"/>
        <w:sz w:val="24"/>
        <w:szCs w:val="24"/>
      </w:rPr>
      <w:t>SUPERINTENDENCIA FINANCIERA DE COLOMBIA</w:t>
    </w:r>
  </w:p>
  <w:p w14:paraId="54529B8F" w14:textId="77777777" w:rsidR="001C58BD" w:rsidRDefault="001C58BD" w:rsidP="002824B6">
    <w:pPr>
      <w:pStyle w:val="Encabezado"/>
      <w:ind w:right="-21"/>
      <w:rPr>
        <w:rFonts w:ascii="Arial" w:hAnsi="Arial"/>
        <w:b/>
        <w:sz w:val="18"/>
      </w:rPr>
    </w:pPr>
  </w:p>
  <w:p w14:paraId="0026A1CF" w14:textId="77777777" w:rsidR="001C58BD" w:rsidRDefault="001C58BD" w:rsidP="002824B6">
    <w:pPr>
      <w:pStyle w:val="Encabezado"/>
      <w:ind w:right="-21"/>
      <w:rPr>
        <w:rFonts w:ascii="Arial" w:hAnsi="Arial"/>
        <w:b/>
        <w:sz w:val="18"/>
      </w:rPr>
    </w:pPr>
    <w:r>
      <w:rPr>
        <w:rFonts w:ascii="Arial" w:hAnsi="Arial"/>
        <w:b/>
        <w:sz w:val="18"/>
      </w:rPr>
      <w:t>CAPÍTULO XXXI SISTEMA INTEGRAL DE ADMINISTRACIÓN DE RIESGOS (SIAR)</w:t>
    </w:r>
  </w:p>
  <w:p w14:paraId="3698E168" w14:textId="0D0C51B6" w:rsidR="001C58BD" w:rsidRPr="007F7E16" w:rsidRDefault="001C58BD">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3-1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2EA47" w14:textId="77777777" w:rsidR="007F7E16" w:rsidRDefault="007F7E16" w:rsidP="002824B6">
    <w:pPr>
      <w:pStyle w:val="Ttulo"/>
      <w:rPr>
        <w:rFonts w:cs="Arial"/>
        <w:b w:val="0"/>
        <w:sz w:val="24"/>
        <w:szCs w:val="24"/>
      </w:rPr>
    </w:pPr>
    <w:r w:rsidRPr="000A50F3">
      <w:rPr>
        <w:rFonts w:cs="Arial"/>
        <w:sz w:val="24"/>
        <w:szCs w:val="24"/>
      </w:rPr>
      <w:t>SUPERINTENDENCIA FINANCIERA DE COLOMBIA</w:t>
    </w:r>
  </w:p>
  <w:p w14:paraId="3BB293A3" w14:textId="77777777" w:rsidR="007F7E16" w:rsidRDefault="007F7E16" w:rsidP="002824B6">
    <w:pPr>
      <w:pStyle w:val="Encabezado"/>
      <w:ind w:right="-21"/>
      <w:rPr>
        <w:rFonts w:ascii="Arial" w:hAnsi="Arial"/>
        <w:b/>
        <w:sz w:val="18"/>
      </w:rPr>
    </w:pPr>
  </w:p>
  <w:p w14:paraId="4CD6B8FE" w14:textId="77777777" w:rsidR="007F7E16" w:rsidRDefault="007F7E16" w:rsidP="002824B6">
    <w:pPr>
      <w:pStyle w:val="Encabezado"/>
      <w:ind w:right="-21"/>
      <w:rPr>
        <w:rFonts w:ascii="Arial" w:hAnsi="Arial"/>
        <w:b/>
        <w:sz w:val="18"/>
      </w:rPr>
    </w:pPr>
    <w:r>
      <w:rPr>
        <w:rFonts w:ascii="Arial" w:hAnsi="Arial"/>
        <w:b/>
        <w:sz w:val="18"/>
      </w:rPr>
      <w:t>CAPÍTULO XXXI SISTEMA INTEGRAL DE ADMINISTRACIÓN DE RIESGOS (SIAR)</w:t>
    </w:r>
  </w:p>
  <w:p w14:paraId="6483CDE0" w14:textId="17A6F603" w:rsidR="007F7E16" w:rsidRPr="007F7E16" w:rsidRDefault="007F7E16">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00A35911">
      <w:rPr>
        <w:rFonts w:ascii="Arial (W1)" w:hAnsi="Arial (W1)"/>
        <w:b/>
        <w:sz w:val="18"/>
        <w:szCs w:val="18"/>
      </w:rPr>
      <w:t>12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F3E3" w14:textId="77777777" w:rsidR="00C406EB" w:rsidRDefault="00C406EB" w:rsidP="002824B6">
    <w:pPr>
      <w:pStyle w:val="Ttulo"/>
      <w:rPr>
        <w:rFonts w:cs="Arial"/>
        <w:b w:val="0"/>
        <w:sz w:val="24"/>
        <w:szCs w:val="24"/>
      </w:rPr>
    </w:pPr>
    <w:r w:rsidRPr="000A50F3">
      <w:rPr>
        <w:rFonts w:cs="Arial"/>
        <w:sz w:val="24"/>
        <w:szCs w:val="24"/>
      </w:rPr>
      <w:t>SUPERINTENDENCIA FINANCIERA DE COLOMBIA</w:t>
    </w:r>
  </w:p>
  <w:p w14:paraId="06691C9E" w14:textId="77777777" w:rsidR="00C406EB" w:rsidRDefault="00C406EB" w:rsidP="002824B6">
    <w:pPr>
      <w:pStyle w:val="Encabezado"/>
      <w:ind w:right="-21"/>
      <w:rPr>
        <w:rFonts w:ascii="Arial" w:hAnsi="Arial"/>
        <w:b/>
        <w:sz w:val="18"/>
      </w:rPr>
    </w:pPr>
  </w:p>
  <w:p w14:paraId="097B8203" w14:textId="77777777" w:rsidR="00C406EB" w:rsidRDefault="00C406EB" w:rsidP="002824B6">
    <w:pPr>
      <w:pStyle w:val="Encabezado"/>
      <w:ind w:right="-21"/>
      <w:rPr>
        <w:rFonts w:ascii="Arial" w:hAnsi="Arial"/>
        <w:b/>
        <w:sz w:val="18"/>
      </w:rPr>
    </w:pPr>
    <w:r>
      <w:rPr>
        <w:rFonts w:ascii="Arial" w:hAnsi="Arial"/>
        <w:b/>
        <w:sz w:val="18"/>
      </w:rPr>
      <w:t>CAPÍTULO XXXI SISTEMA INTEGRAL DE ADMINISTRACIÓN DE RIESGOS (SIAR)</w:t>
    </w:r>
  </w:p>
  <w:p w14:paraId="623771CC" w14:textId="7E65CA5A" w:rsidR="00C406EB" w:rsidRPr="007F7E16" w:rsidRDefault="00C406EB">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12</w:t>
    </w:r>
    <w:r w:rsidR="00700050">
      <w:rPr>
        <w:rFonts w:ascii="Arial (W1)" w:hAnsi="Arial (W1)"/>
        <w:b/>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6CBD"/>
    <w:multiLevelType w:val="hybridMultilevel"/>
    <w:tmpl w:val="0B3C4EF8"/>
    <w:lvl w:ilvl="0" w:tplc="A6FE0BA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A02569"/>
    <w:multiLevelType w:val="hybridMultilevel"/>
    <w:tmpl w:val="0C985F20"/>
    <w:lvl w:ilvl="0" w:tplc="2C44A9D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AA19E2"/>
    <w:multiLevelType w:val="hybridMultilevel"/>
    <w:tmpl w:val="2DFCA246"/>
    <w:lvl w:ilvl="0" w:tplc="B90EDD40">
      <w:start w:val="1"/>
      <w:numFmt w:val="lowerRoman"/>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F542C41"/>
    <w:multiLevelType w:val="hybridMultilevel"/>
    <w:tmpl w:val="D9A2A7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942379"/>
    <w:multiLevelType w:val="hybridMultilevel"/>
    <w:tmpl w:val="956E2BC0"/>
    <w:lvl w:ilvl="0" w:tplc="076633A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38B690D"/>
    <w:multiLevelType w:val="hybridMultilevel"/>
    <w:tmpl w:val="F7EA8528"/>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44B45AD"/>
    <w:multiLevelType w:val="hybridMultilevel"/>
    <w:tmpl w:val="26F25776"/>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287893"/>
    <w:multiLevelType w:val="hybridMultilevel"/>
    <w:tmpl w:val="98626A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FD27A8F"/>
    <w:multiLevelType w:val="hybridMultilevel"/>
    <w:tmpl w:val="C9C05A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42C629E"/>
    <w:multiLevelType w:val="hybridMultilevel"/>
    <w:tmpl w:val="0C985F20"/>
    <w:lvl w:ilvl="0" w:tplc="2C44A9DC">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5642EBD"/>
    <w:multiLevelType w:val="hybridMultilevel"/>
    <w:tmpl w:val="9C142DDE"/>
    <w:lvl w:ilvl="0" w:tplc="F23ED42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9207F9"/>
    <w:multiLevelType w:val="hybridMultilevel"/>
    <w:tmpl w:val="287EAFF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7E90769"/>
    <w:multiLevelType w:val="hybridMultilevel"/>
    <w:tmpl w:val="AF2A672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B391FA8"/>
    <w:multiLevelType w:val="hybridMultilevel"/>
    <w:tmpl w:val="C46AAAD2"/>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C466F9F"/>
    <w:multiLevelType w:val="hybridMultilevel"/>
    <w:tmpl w:val="6A6C49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7B1C2F"/>
    <w:multiLevelType w:val="hybridMultilevel"/>
    <w:tmpl w:val="3888194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1D31E8"/>
    <w:multiLevelType w:val="hybridMultilevel"/>
    <w:tmpl w:val="F67A3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820060F"/>
    <w:multiLevelType w:val="hybridMultilevel"/>
    <w:tmpl w:val="413E3F14"/>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9846D5A"/>
    <w:multiLevelType w:val="hybridMultilevel"/>
    <w:tmpl w:val="2F54373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9A30369"/>
    <w:multiLevelType w:val="hybridMultilevel"/>
    <w:tmpl w:val="031C9DC4"/>
    <w:lvl w:ilvl="0" w:tplc="240A001B">
      <w:start w:val="1"/>
      <w:numFmt w:val="lowerRoman"/>
      <w:lvlText w:val="%1."/>
      <w:lvlJc w:val="right"/>
      <w:pPr>
        <w:ind w:left="540" w:hanging="360"/>
      </w:pPr>
    </w:lvl>
    <w:lvl w:ilvl="1" w:tplc="240A0019" w:tentative="1">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0" w15:restartNumberingAfterBreak="0">
    <w:nsid w:val="5EAE1487"/>
    <w:multiLevelType w:val="hybridMultilevel"/>
    <w:tmpl w:val="6D7499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7810D7C"/>
    <w:multiLevelType w:val="multilevel"/>
    <w:tmpl w:val="1EC006B2"/>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BA727F0"/>
    <w:multiLevelType w:val="hybridMultilevel"/>
    <w:tmpl w:val="861C86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13E1FC6"/>
    <w:multiLevelType w:val="hybridMultilevel"/>
    <w:tmpl w:val="43CA1D40"/>
    <w:lvl w:ilvl="0" w:tplc="E9448D9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3165EC0"/>
    <w:multiLevelType w:val="hybridMultilevel"/>
    <w:tmpl w:val="D5F4807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4C0477C"/>
    <w:multiLevelType w:val="hybridMultilevel"/>
    <w:tmpl w:val="5EBEFC74"/>
    <w:lvl w:ilvl="0" w:tplc="B90EDD4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6172620"/>
    <w:multiLevelType w:val="multilevel"/>
    <w:tmpl w:val="40D8194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68E7ABA"/>
    <w:multiLevelType w:val="hybridMultilevel"/>
    <w:tmpl w:val="18CCCD5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6E44903"/>
    <w:multiLevelType w:val="hybridMultilevel"/>
    <w:tmpl w:val="CECA95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7E2674C"/>
    <w:multiLevelType w:val="hybridMultilevel"/>
    <w:tmpl w:val="796E07D4"/>
    <w:lvl w:ilvl="0" w:tplc="745EC6D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C8B37A0"/>
    <w:multiLevelType w:val="hybridMultilevel"/>
    <w:tmpl w:val="6BEA47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E375A14"/>
    <w:multiLevelType w:val="hybridMultilevel"/>
    <w:tmpl w:val="BB6EDAB4"/>
    <w:lvl w:ilvl="0" w:tplc="546E6870">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7F0D7016"/>
    <w:multiLevelType w:val="hybridMultilevel"/>
    <w:tmpl w:val="BB6EDAB4"/>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F2F0E1A"/>
    <w:multiLevelType w:val="hybridMultilevel"/>
    <w:tmpl w:val="5E626224"/>
    <w:lvl w:ilvl="0" w:tplc="0C0A001B">
      <w:start w:val="1"/>
      <w:numFmt w:val="lowerRoman"/>
      <w:lvlText w:val="%1."/>
      <w:lvlJc w:val="right"/>
      <w:pPr>
        <w:ind w:left="1080" w:hanging="72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75259977">
    <w:abstractNumId w:val="21"/>
  </w:num>
  <w:num w:numId="2" w16cid:durableId="1983535564">
    <w:abstractNumId w:val="14"/>
  </w:num>
  <w:num w:numId="3" w16cid:durableId="1246377663">
    <w:abstractNumId w:val="25"/>
  </w:num>
  <w:num w:numId="4" w16cid:durableId="448087110">
    <w:abstractNumId w:val="23"/>
  </w:num>
  <w:num w:numId="5" w16cid:durableId="976684485">
    <w:abstractNumId w:val="33"/>
  </w:num>
  <w:num w:numId="6" w16cid:durableId="1425494462">
    <w:abstractNumId w:val="32"/>
  </w:num>
  <w:num w:numId="7" w16cid:durableId="26494980">
    <w:abstractNumId w:val="5"/>
  </w:num>
  <w:num w:numId="8" w16cid:durableId="453213075">
    <w:abstractNumId w:val="17"/>
  </w:num>
  <w:num w:numId="9" w16cid:durableId="914709424">
    <w:abstractNumId w:val="27"/>
  </w:num>
  <w:num w:numId="10" w16cid:durableId="800339989">
    <w:abstractNumId w:val="13"/>
  </w:num>
  <w:num w:numId="11" w16cid:durableId="183178141">
    <w:abstractNumId w:val="7"/>
  </w:num>
  <w:num w:numId="12" w16cid:durableId="64382006">
    <w:abstractNumId w:val="28"/>
  </w:num>
  <w:num w:numId="13" w16cid:durableId="1918243678">
    <w:abstractNumId w:val="6"/>
  </w:num>
  <w:num w:numId="14" w16cid:durableId="755326663">
    <w:abstractNumId w:val="11"/>
  </w:num>
  <w:num w:numId="15" w16cid:durableId="373582799">
    <w:abstractNumId w:val="29"/>
  </w:num>
  <w:num w:numId="16" w16cid:durableId="1259562264">
    <w:abstractNumId w:val="1"/>
  </w:num>
  <w:num w:numId="17" w16cid:durableId="319963545">
    <w:abstractNumId w:val="10"/>
  </w:num>
  <w:num w:numId="18" w16cid:durableId="1498880507">
    <w:abstractNumId w:val="4"/>
  </w:num>
  <w:num w:numId="19" w16cid:durableId="529144196">
    <w:abstractNumId w:val="0"/>
  </w:num>
  <w:num w:numId="20" w16cid:durableId="192232530">
    <w:abstractNumId w:val="31"/>
  </w:num>
  <w:num w:numId="21" w16cid:durableId="1018508543">
    <w:abstractNumId w:val="9"/>
  </w:num>
  <w:num w:numId="22" w16cid:durableId="1327439658">
    <w:abstractNumId w:val="12"/>
  </w:num>
  <w:num w:numId="23" w16cid:durableId="1681737768">
    <w:abstractNumId w:val="3"/>
  </w:num>
  <w:num w:numId="24" w16cid:durableId="260376863">
    <w:abstractNumId w:val="30"/>
  </w:num>
  <w:num w:numId="25" w16cid:durableId="2100908035">
    <w:abstractNumId w:val="8"/>
  </w:num>
  <w:num w:numId="26" w16cid:durableId="587085294">
    <w:abstractNumId w:val="22"/>
  </w:num>
  <w:num w:numId="27" w16cid:durableId="205533347">
    <w:abstractNumId w:val="15"/>
  </w:num>
  <w:num w:numId="28" w16cid:durableId="1013457777">
    <w:abstractNumId w:val="18"/>
  </w:num>
  <w:num w:numId="29" w16cid:durableId="1079711385">
    <w:abstractNumId w:val="19"/>
  </w:num>
  <w:num w:numId="30" w16cid:durableId="390464169">
    <w:abstractNumId w:val="24"/>
  </w:num>
  <w:num w:numId="31" w16cid:durableId="2083018589">
    <w:abstractNumId w:val="16"/>
  </w:num>
  <w:num w:numId="32" w16cid:durableId="1705016817">
    <w:abstractNumId w:val="20"/>
  </w:num>
  <w:num w:numId="33" w16cid:durableId="562563279">
    <w:abstractNumId w:val="2"/>
  </w:num>
  <w:num w:numId="34" w16cid:durableId="167642220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DEF"/>
    <w:rsid w:val="00007C2B"/>
    <w:rsid w:val="00024B3C"/>
    <w:rsid w:val="00045CCC"/>
    <w:rsid w:val="00054438"/>
    <w:rsid w:val="00067851"/>
    <w:rsid w:val="00082BCB"/>
    <w:rsid w:val="000B6E59"/>
    <w:rsid w:val="000D3347"/>
    <w:rsid w:val="000F5CBD"/>
    <w:rsid w:val="001217B3"/>
    <w:rsid w:val="0013150F"/>
    <w:rsid w:val="00133352"/>
    <w:rsid w:val="00144E92"/>
    <w:rsid w:val="001661A8"/>
    <w:rsid w:val="001776AC"/>
    <w:rsid w:val="00181F07"/>
    <w:rsid w:val="00185E0A"/>
    <w:rsid w:val="00194087"/>
    <w:rsid w:val="001A2602"/>
    <w:rsid w:val="001A48A9"/>
    <w:rsid w:val="001C58BD"/>
    <w:rsid w:val="001C65F4"/>
    <w:rsid w:val="001C7EC2"/>
    <w:rsid w:val="001D1231"/>
    <w:rsid w:val="001D6435"/>
    <w:rsid w:val="001D743D"/>
    <w:rsid w:val="001D78FD"/>
    <w:rsid w:val="001F23B7"/>
    <w:rsid w:val="00202E71"/>
    <w:rsid w:val="00203BEE"/>
    <w:rsid w:val="00207FD3"/>
    <w:rsid w:val="002220F5"/>
    <w:rsid w:val="002251E5"/>
    <w:rsid w:val="00231709"/>
    <w:rsid w:val="0025021A"/>
    <w:rsid w:val="00255002"/>
    <w:rsid w:val="00261664"/>
    <w:rsid w:val="002622D3"/>
    <w:rsid w:val="00275356"/>
    <w:rsid w:val="002753DD"/>
    <w:rsid w:val="002824B6"/>
    <w:rsid w:val="00292E98"/>
    <w:rsid w:val="0029574E"/>
    <w:rsid w:val="002A42EA"/>
    <w:rsid w:val="002C27B2"/>
    <w:rsid w:val="002D7A53"/>
    <w:rsid w:val="002E4782"/>
    <w:rsid w:val="002E7AF1"/>
    <w:rsid w:val="002F2220"/>
    <w:rsid w:val="003130D8"/>
    <w:rsid w:val="00321643"/>
    <w:rsid w:val="00330A40"/>
    <w:rsid w:val="003318B3"/>
    <w:rsid w:val="00350057"/>
    <w:rsid w:val="0035183A"/>
    <w:rsid w:val="00354640"/>
    <w:rsid w:val="0035528C"/>
    <w:rsid w:val="003658CB"/>
    <w:rsid w:val="00366553"/>
    <w:rsid w:val="003806E8"/>
    <w:rsid w:val="00385513"/>
    <w:rsid w:val="00396A7C"/>
    <w:rsid w:val="0039729E"/>
    <w:rsid w:val="003A51B5"/>
    <w:rsid w:val="003B479F"/>
    <w:rsid w:val="003B73C0"/>
    <w:rsid w:val="003E2CAB"/>
    <w:rsid w:val="003E7656"/>
    <w:rsid w:val="003F7639"/>
    <w:rsid w:val="0040022A"/>
    <w:rsid w:val="00421395"/>
    <w:rsid w:val="004326C5"/>
    <w:rsid w:val="0047212C"/>
    <w:rsid w:val="00486770"/>
    <w:rsid w:val="004B55FF"/>
    <w:rsid w:val="004C7F9E"/>
    <w:rsid w:val="004D14B8"/>
    <w:rsid w:val="004D19AB"/>
    <w:rsid w:val="004D1FC4"/>
    <w:rsid w:val="004F29BD"/>
    <w:rsid w:val="00501F57"/>
    <w:rsid w:val="00517C67"/>
    <w:rsid w:val="00527462"/>
    <w:rsid w:val="005425F9"/>
    <w:rsid w:val="00563C00"/>
    <w:rsid w:val="00575987"/>
    <w:rsid w:val="0058266D"/>
    <w:rsid w:val="005929E2"/>
    <w:rsid w:val="00594C85"/>
    <w:rsid w:val="005B0829"/>
    <w:rsid w:val="005C2F4A"/>
    <w:rsid w:val="00600E42"/>
    <w:rsid w:val="00623BC0"/>
    <w:rsid w:val="00631DF7"/>
    <w:rsid w:val="00633898"/>
    <w:rsid w:val="00637520"/>
    <w:rsid w:val="006648DD"/>
    <w:rsid w:val="00667DB6"/>
    <w:rsid w:val="00694303"/>
    <w:rsid w:val="00694B7B"/>
    <w:rsid w:val="006A0B2B"/>
    <w:rsid w:val="006A6E7B"/>
    <w:rsid w:val="006B70C6"/>
    <w:rsid w:val="006C25A4"/>
    <w:rsid w:val="006D58B4"/>
    <w:rsid w:val="006E6F61"/>
    <w:rsid w:val="006F0EBD"/>
    <w:rsid w:val="00700050"/>
    <w:rsid w:val="00704750"/>
    <w:rsid w:val="00721B41"/>
    <w:rsid w:val="0072332B"/>
    <w:rsid w:val="00726FCB"/>
    <w:rsid w:val="00742A15"/>
    <w:rsid w:val="00745285"/>
    <w:rsid w:val="007A2338"/>
    <w:rsid w:val="007B04AC"/>
    <w:rsid w:val="007B0AF8"/>
    <w:rsid w:val="007D198C"/>
    <w:rsid w:val="007F7E16"/>
    <w:rsid w:val="00805E9C"/>
    <w:rsid w:val="00812B37"/>
    <w:rsid w:val="008130D1"/>
    <w:rsid w:val="00823C5F"/>
    <w:rsid w:val="0083206C"/>
    <w:rsid w:val="008367C3"/>
    <w:rsid w:val="008568AE"/>
    <w:rsid w:val="00885E5D"/>
    <w:rsid w:val="008913AF"/>
    <w:rsid w:val="0089479E"/>
    <w:rsid w:val="00895316"/>
    <w:rsid w:val="00897642"/>
    <w:rsid w:val="008A1F5F"/>
    <w:rsid w:val="008B0E60"/>
    <w:rsid w:val="008C01A4"/>
    <w:rsid w:val="008C0324"/>
    <w:rsid w:val="008C1A44"/>
    <w:rsid w:val="008C41DD"/>
    <w:rsid w:val="008D5278"/>
    <w:rsid w:val="008F3EB2"/>
    <w:rsid w:val="008F6E62"/>
    <w:rsid w:val="008F7AA2"/>
    <w:rsid w:val="00900645"/>
    <w:rsid w:val="00903E18"/>
    <w:rsid w:val="00927930"/>
    <w:rsid w:val="009474E6"/>
    <w:rsid w:val="00950D76"/>
    <w:rsid w:val="0097790D"/>
    <w:rsid w:val="00982025"/>
    <w:rsid w:val="0098350F"/>
    <w:rsid w:val="00987DE7"/>
    <w:rsid w:val="009959B0"/>
    <w:rsid w:val="009A0A72"/>
    <w:rsid w:val="009A2B61"/>
    <w:rsid w:val="009A51FC"/>
    <w:rsid w:val="009B4ED6"/>
    <w:rsid w:val="009C368C"/>
    <w:rsid w:val="009C7223"/>
    <w:rsid w:val="009D36D2"/>
    <w:rsid w:val="009E5A1C"/>
    <w:rsid w:val="009E7FF6"/>
    <w:rsid w:val="009F43CF"/>
    <w:rsid w:val="00A00111"/>
    <w:rsid w:val="00A03074"/>
    <w:rsid w:val="00A122BA"/>
    <w:rsid w:val="00A15F54"/>
    <w:rsid w:val="00A24961"/>
    <w:rsid w:val="00A27820"/>
    <w:rsid w:val="00A35911"/>
    <w:rsid w:val="00A53ABF"/>
    <w:rsid w:val="00A55A13"/>
    <w:rsid w:val="00A617D6"/>
    <w:rsid w:val="00A7750E"/>
    <w:rsid w:val="00A9072A"/>
    <w:rsid w:val="00AB17F4"/>
    <w:rsid w:val="00AB2DEF"/>
    <w:rsid w:val="00AB7F1D"/>
    <w:rsid w:val="00AD0144"/>
    <w:rsid w:val="00AF4B9E"/>
    <w:rsid w:val="00B11FF3"/>
    <w:rsid w:val="00B23826"/>
    <w:rsid w:val="00B327EB"/>
    <w:rsid w:val="00B33F7B"/>
    <w:rsid w:val="00B52137"/>
    <w:rsid w:val="00B6034A"/>
    <w:rsid w:val="00B77CC0"/>
    <w:rsid w:val="00B82CED"/>
    <w:rsid w:val="00B8333F"/>
    <w:rsid w:val="00B84BD9"/>
    <w:rsid w:val="00B928D3"/>
    <w:rsid w:val="00BA5377"/>
    <w:rsid w:val="00BA6D1C"/>
    <w:rsid w:val="00BB083D"/>
    <w:rsid w:val="00BC658B"/>
    <w:rsid w:val="00BC671C"/>
    <w:rsid w:val="00BE03A3"/>
    <w:rsid w:val="00BF0925"/>
    <w:rsid w:val="00C11425"/>
    <w:rsid w:val="00C21A96"/>
    <w:rsid w:val="00C406EB"/>
    <w:rsid w:val="00C42755"/>
    <w:rsid w:val="00C47E04"/>
    <w:rsid w:val="00C551E5"/>
    <w:rsid w:val="00C63838"/>
    <w:rsid w:val="00C66C15"/>
    <w:rsid w:val="00C71844"/>
    <w:rsid w:val="00C73F50"/>
    <w:rsid w:val="00C80001"/>
    <w:rsid w:val="00C8088D"/>
    <w:rsid w:val="00C8537D"/>
    <w:rsid w:val="00C858B4"/>
    <w:rsid w:val="00C93912"/>
    <w:rsid w:val="00C95B91"/>
    <w:rsid w:val="00CC3E2A"/>
    <w:rsid w:val="00CC43A5"/>
    <w:rsid w:val="00CE2260"/>
    <w:rsid w:val="00CE2B9B"/>
    <w:rsid w:val="00CE56DB"/>
    <w:rsid w:val="00D06B09"/>
    <w:rsid w:val="00D10919"/>
    <w:rsid w:val="00D14B57"/>
    <w:rsid w:val="00D15DCF"/>
    <w:rsid w:val="00D3728A"/>
    <w:rsid w:val="00D45F0C"/>
    <w:rsid w:val="00D5447E"/>
    <w:rsid w:val="00D60341"/>
    <w:rsid w:val="00D66F7B"/>
    <w:rsid w:val="00DA77C8"/>
    <w:rsid w:val="00DC1153"/>
    <w:rsid w:val="00DC4918"/>
    <w:rsid w:val="00DD096B"/>
    <w:rsid w:val="00DF07B3"/>
    <w:rsid w:val="00DF2B76"/>
    <w:rsid w:val="00E05703"/>
    <w:rsid w:val="00E27DE3"/>
    <w:rsid w:val="00E33B70"/>
    <w:rsid w:val="00E6245C"/>
    <w:rsid w:val="00E80AFD"/>
    <w:rsid w:val="00E81230"/>
    <w:rsid w:val="00E812B1"/>
    <w:rsid w:val="00E852B2"/>
    <w:rsid w:val="00E873C8"/>
    <w:rsid w:val="00E93F7C"/>
    <w:rsid w:val="00EB2357"/>
    <w:rsid w:val="00ED5E74"/>
    <w:rsid w:val="00EE4FAC"/>
    <w:rsid w:val="00EF5FFC"/>
    <w:rsid w:val="00F05134"/>
    <w:rsid w:val="00F07CFF"/>
    <w:rsid w:val="00F264D1"/>
    <w:rsid w:val="00F320C1"/>
    <w:rsid w:val="00F36D7C"/>
    <w:rsid w:val="00F4492D"/>
    <w:rsid w:val="00F84982"/>
    <w:rsid w:val="00F86B33"/>
    <w:rsid w:val="00F9040A"/>
    <w:rsid w:val="00F97AB9"/>
    <w:rsid w:val="00FA187B"/>
    <w:rsid w:val="00FD7F79"/>
    <w:rsid w:val="00FE2A9A"/>
    <w:rsid w:val="00FF1589"/>
    <w:rsid w:val="00FF3021"/>
    <w:rsid w:val="00FF738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E4A7B"/>
  <w15:docId w15:val="{73AFE70C-49F6-4D19-9B0E-41CC21AF9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B2DEF"/>
    <w:pPr>
      <w:tabs>
        <w:tab w:val="center" w:pos="4419"/>
        <w:tab w:val="right" w:pos="8838"/>
      </w:tabs>
      <w:spacing w:after="0" w:line="240" w:lineRule="auto"/>
    </w:pPr>
  </w:style>
  <w:style w:type="character" w:customStyle="1" w:styleId="EncabezadoCar">
    <w:name w:val="Encabezado Car"/>
    <w:basedOn w:val="Fuentedeprrafopredeter"/>
    <w:link w:val="Encabezado"/>
    <w:rsid w:val="00AB2DEF"/>
  </w:style>
  <w:style w:type="paragraph" w:styleId="Piedepgina">
    <w:name w:val="footer"/>
    <w:basedOn w:val="Normal"/>
    <w:link w:val="PiedepginaCar"/>
    <w:unhideWhenUsed/>
    <w:rsid w:val="00AB2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2DEF"/>
  </w:style>
  <w:style w:type="paragraph" w:styleId="Ttulo">
    <w:name w:val="Title"/>
    <w:basedOn w:val="Normal"/>
    <w:link w:val="TtuloCar"/>
    <w:qFormat/>
    <w:rsid w:val="002824B6"/>
    <w:pPr>
      <w:spacing w:after="0" w:line="240" w:lineRule="auto"/>
      <w:jc w:val="center"/>
      <w:outlineLvl w:val="0"/>
    </w:pPr>
    <w:rPr>
      <w:rFonts w:ascii="Arial" w:eastAsia="Times New Roman" w:hAnsi="Arial" w:cs="Times New Roman"/>
      <w:b/>
      <w:bCs/>
      <w:lang w:val="es-MX" w:eastAsia="es-ES"/>
    </w:rPr>
  </w:style>
  <w:style w:type="character" w:customStyle="1" w:styleId="TtuloCar">
    <w:name w:val="Título Car"/>
    <w:basedOn w:val="Fuentedeprrafopredeter"/>
    <w:link w:val="Ttulo"/>
    <w:rsid w:val="002824B6"/>
    <w:rPr>
      <w:rFonts w:ascii="Arial" w:eastAsia="Times New Roman" w:hAnsi="Arial" w:cs="Times New Roman"/>
      <w:b/>
      <w:bCs/>
      <w:lang w:val="es-MX" w:eastAsia="es-ES"/>
    </w:rPr>
  </w:style>
  <w:style w:type="character" w:styleId="Nmerodepgina">
    <w:name w:val="page number"/>
    <w:basedOn w:val="Fuentedeprrafopredeter"/>
    <w:rsid w:val="00CC43A5"/>
  </w:style>
  <w:style w:type="paragraph" w:styleId="Prrafodelista">
    <w:name w:val="List Paragraph"/>
    <w:basedOn w:val="Normal"/>
    <w:uiPriority w:val="34"/>
    <w:qFormat/>
    <w:rsid w:val="00DF2B76"/>
    <w:pPr>
      <w:ind w:left="720"/>
      <w:contextualSpacing/>
    </w:pPr>
  </w:style>
  <w:style w:type="paragraph" w:styleId="Textodeglobo">
    <w:name w:val="Balloon Text"/>
    <w:basedOn w:val="Normal"/>
    <w:link w:val="TextodegloboCar"/>
    <w:uiPriority w:val="99"/>
    <w:semiHidden/>
    <w:unhideWhenUsed/>
    <w:rsid w:val="00DF2B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2B76"/>
    <w:rPr>
      <w:rFonts w:ascii="Tahoma" w:hAnsi="Tahoma" w:cs="Tahoma"/>
      <w:sz w:val="16"/>
      <w:szCs w:val="16"/>
    </w:rPr>
  </w:style>
  <w:style w:type="character" w:styleId="Refdecomentario">
    <w:name w:val="annotation reference"/>
    <w:basedOn w:val="Fuentedeprrafopredeter"/>
    <w:uiPriority w:val="99"/>
    <w:semiHidden/>
    <w:unhideWhenUsed/>
    <w:rsid w:val="004B55FF"/>
    <w:rPr>
      <w:sz w:val="16"/>
      <w:szCs w:val="16"/>
    </w:rPr>
  </w:style>
  <w:style w:type="paragraph" w:styleId="Textocomentario">
    <w:name w:val="annotation text"/>
    <w:basedOn w:val="Normal"/>
    <w:link w:val="TextocomentarioCar"/>
    <w:uiPriority w:val="99"/>
    <w:semiHidden/>
    <w:unhideWhenUsed/>
    <w:rsid w:val="004B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B55FF"/>
    <w:rPr>
      <w:sz w:val="20"/>
      <w:szCs w:val="20"/>
    </w:rPr>
  </w:style>
  <w:style w:type="paragraph" w:styleId="Asuntodelcomentario">
    <w:name w:val="annotation subject"/>
    <w:basedOn w:val="Textocomentario"/>
    <w:next w:val="Textocomentario"/>
    <w:link w:val="AsuntodelcomentarioCar"/>
    <w:uiPriority w:val="99"/>
    <w:semiHidden/>
    <w:unhideWhenUsed/>
    <w:rsid w:val="004B55FF"/>
    <w:rPr>
      <w:b/>
      <w:bCs/>
    </w:rPr>
  </w:style>
  <w:style w:type="character" w:customStyle="1" w:styleId="AsuntodelcomentarioCar">
    <w:name w:val="Asunto del comentario Car"/>
    <w:basedOn w:val="TextocomentarioCar"/>
    <w:link w:val="Asuntodelcomentario"/>
    <w:uiPriority w:val="99"/>
    <w:semiHidden/>
    <w:rsid w:val="004B55FF"/>
    <w:rPr>
      <w:b/>
      <w:bCs/>
      <w:sz w:val="20"/>
      <w:szCs w:val="20"/>
    </w:rPr>
  </w:style>
  <w:style w:type="paragraph" w:styleId="Textoindependiente">
    <w:name w:val="Body Text"/>
    <w:basedOn w:val="Normal"/>
    <w:link w:val="TextoindependienteCar"/>
    <w:rsid w:val="00DA77C8"/>
    <w:pPr>
      <w:spacing w:after="0" w:line="240" w:lineRule="auto"/>
      <w:jc w:val="both"/>
    </w:pPr>
    <w:rPr>
      <w:rFonts w:ascii="Arial" w:eastAsia="Times New Roman" w:hAnsi="Arial" w:cs="Arial"/>
      <w:spacing w:val="20"/>
      <w:sz w:val="24"/>
      <w:szCs w:val="24"/>
      <w:lang w:val="es-MX" w:eastAsia="es-ES"/>
    </w:rPr>
  </w:style>
  <w:style w:type="character" w:customStyle="1" w:styleId="TextoindependienteCar">
    <w:name w:val="Texto independiente Car"/>
    <w:basedOn w:val="Fuentedeprrafopredeter"/>
    <w:link w:val="Textoindependiente"/>
    <w:rsid w:val="00DA77C8"/>
    <w:rPr>
      <w:rFonts w:ascii="Arial" w:eastAsia="Times New Roman" w:hAnsi="Arial" w:cs="Arial"/>
      <w:spacing w:val="20"/>
      <w:sz w:val="24"/>
      <w:szCs w:val="24"/>
      <w:lang w:val="es-MX" w:eastAsia="es-ES"/>
    </w:rPr>
  </w:style>
  <w:style w:type="paragraph" w:styleId="Revisin">
    <w:name w:val="Revision"/>
    <w:hidden/>
    <w:uiPriority w:val="99"/>
    <w:semiHidden/>
    <w:rsid w:val="00EF5F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2B9A07-CF00-4528-91F4-72419D5D33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440932-77BD-4BE5-A493-2D21336BB547}">
  <ds:schemaRefs>
    <ds:schemaRef ds:uri="http://schemas.microsoft.com/sharepoint/v3/contenttype/forms"/>
  </ds:schemaRefs>
</ds:datastoreItem>
</file>

<file path=customXml/itemProps3.xml><?xml version="1.0" encoding="utf-8"?>
<ds:datastoreItem xmlns:ds="http://schemas.openxmlformats.org/officeDocument/2006/customXml" ds:itemID="{132A85D9-BF80-4627-91D3-6E4D881DC85F}">
  <ds:schemaRefs>
    <ds:schemaRef ds:uri="http://schemas.openxmlformats.org/officeDocument/2006/bibliography"/>
  </ds:schemaRefs>
</ds:datastoreItem>
</file>

<file path=customXml/itemProps4.xml><?xml version="1.0" encoding="utf-8"?>
<ds:datastoreItem xmlns:ds="http://schemas.openxmlformats.org/officeDocument/2006/customXml" ds:itemID="{C7E29D60-077D-4CEC-8DF4-8E5B100E0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2544</Words>
  <Characters>13998</Characters>
  <Application>Microsoft Office Word</Application>
  <DocSecurity>4</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16509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Felipe Vera Valencia</dc:creator>
  <cp:keywords/>
  <cp:lastModifiedBy>Juan Bernardo Caicedo Guillen</cp:lastModifiedBy>
  <cp:revision>2</cp:revision>
  <cp:lastPrinted>2017-07-12T00:06:00Z</cp:lastPrinted>
  <dcterms:created xsi:type="dcterms:W3CDTF">2023-01-10T15:15:00Z</dcterms:created>
  <dcterms:modified xsi:type="dcterms:W3CDTF">2023-01-10T15:15:00Z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0x010100938D77FF5838414D90B359564BE81BAF</vt:lpwstr>
  </property>
</Properties>
</file>